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eastAsia="仿宋"/>
          <w:b/>
          <w:bCs/>
          <w:w w:val="99"/>
          <w:sz w:val="24"/>
          <w:szCs w:val="24"/>
        </w:rPr>
      </w:pPr>
      <w:r>
        <w:rPr>
          <w:rFonts w:eastAsia="仿宋"/>
          <w:b/>
          <w:bCs/>
          <w:color w:val="000000"/>
          <w:sz w:val="24"/>
          <w:szCs w:val="24"/>
        </w:rPr>
        <w:t>附件</w:t>
      </w:r>
      <w:r>
        <w:rPr>
          <w:rFonts w:hint="eastAsia" w:eastAsia="仿宋"/>
          <w:b/>
          <w:bCs/>
          <w:color w:val="000000"/>
          <w:sz w:val="24"/>
          <w:szCs w:val="24"/>
          <w:lang w:val="en-US" w:eastAsia="zh-CN"/>
        </w:rPr>
        <w:t>2</w:t>
      </w:r>
      <w:r>
        <w:rPr>
          <w:rFonts w:eastAsia="仿宋"/>
          <w:color w:val="000000"/>
          <w:sz w:val="24"/>
          <w:szCs w:val="24"/>
        </w:rPr>
        <w:t xml:space="preserve">  </w:t>
      </w:r>
      <w:r>
        <w:rPr>
          <w:rFonts w:eastAsia="仿宋"/>
          <w:b/>
          <w:bCs/>
          <w:color w:val="000000"/>
          <w:sz w:val="24"/>
          <w:szCs w:val="24"/>
        </w:rPr>
        <w:t>综合评分细则：</w:t>
      </w:r>
    </w:p>
    <w:tbl>
      <w:tblPr>
        <w:tblStyle w:val="6"/>
        <w:tblpPr w:leftFromText="180" w:rightFromText="180" w:vertAnchor="text" w:horzAnchor="page" w:tblpX="1792" w:tblpY="603"/>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332"/>
        <w:gridCol w:w="538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86" w:type="dxa"/>
            <w:vAlign w:val="center"/>
          </w:tcPr>
          <w:p>
            <w:pPr>
              <w:jc w:val="center"/>
              <w:rPr>
                <w:rFonts w:eastAsia="仿宋"/>
                <w:sz w:val="24"/>
                <w:szCs w:val="24"/>
              </w:rPr>
            </w:pPr>
            <w:r>
              <w:rPr>
                <w:rFonts w:eastAsia="仿宋"/>
                <w:b/>
                <w:bCs/>
                <w:w w:val="99"/>
                <w:sz w:val="24"/>
                <w:szCs w:val="24"/>
              </w:rPr>
              <w:t>类别</w:t>
            </w:r>
          </w:p>
        </w:tc>
        <w:tc>
          <w:tcPr>
            <w:tcW w:w="1332" w:type="dxa"/>
            <w:vAlign w:val="center"/>
          </w:tcPr>
          <w:p>
            <w:pPr>
              <w:jc w:val="center"/>
              <w:rPr>
                <w:rFonts w:eastAsia="仿宋"/>
                <w:sz w:val="24"/>
                <w:szCs w:val="24"/>
              </w:rPr>
            </w:pPr>
            <w:r>
              <w:rPr>
                <w:rFonts w:eastAsia="仿宋"/>
                <w:b/>
                <w:bCs/>
                <w:w w:val="99"/>
                <w:sz w:val="24"/>
                <w:szCs w:val="24"/>
              </w:rPr>
              <w:t>评分内容</w:t>
            </w:r>
          </w:p>
        </w:tc>
        <w:tc>
          <w:tcPr>
            <w:tcW w:w="5387" w:type="dxa"/>
            <w:vAlign w:val="center"/>
          </w:tcPr>
          <w:p>
            <w:pPr>
              <w:jc w:val="center"/>
              <w:rPr>
                <w:rFonts w:eastAsia="仿宋"/>
                <w:sz w:val="24"/>
                <w:szCs w:val="24"/>
              </w:rPr>
            </w:pPr>
            <w:r>
              <w:rPr>
                <w:rFonts w:eastAsia="仿宋"/>
                <w:b/>
                <w:bCs/>
                <w:sz w:val="24"/>
                <w:szCs w:val="24"/>
              </w:rPr>
              <w:t>评分标准</w:t>
            </w:r>
          </w:p>
        </w:tc>
        <w:tc>
          <w:tcPr>
            <w:tcW w:w="1275" w:type="dxa"/>
            <w:vAlign w:val="center"/>
          </w:tcPr>
          <w:p>
            <w:pPr>
              <w:jc w:val="center"/>
              <w:rPr>
                <w:rFonts w:eastAsia="仿宋"/>
                <w:sz w:val="24"/>
                <w:szCs w:val="24"/>
              </w:rPr>
            </w:pPr>
            <w:r>
              <w:rPr>
                <w:rFonts w:eastAsia="仿宋"/>
                <w:b/>
                <w:bCs/>
                <w:w w:val="99"/>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1186" w:type="dxa"/>
            <w:vMerge w:val="restart"/>
            <w:vAlign w:val="center"/>
          </w:tcPr>
          <w:p>
            <w:pPr>
              <w:ind w:firstLine="237" w:firstLineChars="100"/>
              <w:rPr>
                <w:rFonts w:eastAsia="仿宋"/>
                <w:w w:val="99"/>
                <w:sz w:val="24"/>
                <w:szCs w:val="24"/>
              </w:rPr>
            </w:pPr>
            <w:r>
              <w:rPr>
                <w:rFonts w:eastAsia="仿宋"/>
                <w:w w:val="99"/>
                <w:sz w:val="24"/>
                <w:szCs w:val="24"/>
              </w:rPr>
              <w:t>技术</w:t>
            </w:r>
          </w:p>
          <w:p>
            <w:pPr>
              <w:rPr>
                <w:rFonts w:eastAsia="仿宋"/>
                <w:sz w:val="24"/>
                <w:szCs w:val="24"/>
              </w:rPr>
            </w:pPr>
            <w:r>
              <w:rPr>
                <w:rFonts w:eastAsia="仿宋"/>
                <w:w w:val="99"/>
                <w:sz w:val="24"/>
                <w:szCs w:val="24"/>
              </w:rPr>
              <w:t>资 信 分</w:t>
            </w:r>
          </w:p>
        </w:tc>
        <w:tc>
          <w:tcPr>
            <w:tcW w:w="1332" w:type="dxa"/>
            <w:vAlign w:val="center"/>
          </w:tcPr>
          <w:p>
            <w:pPr>
              <w:spacing w:line="274" w:lineRule="exact"/>
              <w:jc w:val="center"/>
              <w:rPr>
                <w:rFonts w:eastAsia="仿宋"/>
                <w:w w:val="99"/>
                <w:szCs w:val="21"/>
              </w:rPr>
            </w:pPr>
            <w:r>
              <w:rPr>
                <w:rFonts w:eastAsia="仿宋"/>
                <w:w w:val="99"/>
                <w:szCs w:val="21"/>
              </w:rPr>
              <w:t>维保服务</w:t>
            </w:r>
          </w:p>
          <w:p>
            <w:pPr>
              <w:spacing w:line="274" w:lineRule="exact"/>
              <w:ind w:firstLine="414" w:firstLineChars="200"/>
              <w:rPr>
                <w:rFonts w:eastAsia="仿宋"/>
                <w:szCs w:val="21"/>
              </w:rPr>
            </w:pPr>
            <w:r>
              <w:rPr>
                <w:rFonts w:eastAsia="仿宋"/>
                <w:w w:val="99"/>
                <w:szCs w:val="21"/>
              </w:rPr>
              <w:t>方案</w:t>
            </w:r>
          </w:p>
          <w:p>
            <w:pPr>
              <w:jc w:val="center"/>
              <w:rPr>
                <w:rFonts w:eastAsia="仿宋"/>
                <w:szCs w:val="21"/>
              </w:rPr>
            </w:pPr>
          </w:p>
        </w:tc>
        <w:tc>
          <w:tcPr>
            <w:tcW w:w="5387" w:type="dxa"/>
          </w:tcPr>
          <w:p>
            <w:pPr>
              <w:spacing w:line="262" w:lineRule="exact"/>
              <w:ind w:left="80"/>
              <w:rPr>
                <w:rFonts w:eastAsia="仿宋"/>
                <w:szCs w:val="21"/>
              </w:rPr>
            </w:pPr>
            <w:r>
              <w:rPr>
                <w:rFonts w:eastAsia="仿宋"/>
                <w:szCs w:val="21"/>
              </w:rPr>
              <w:t>投标供应商在投标文件中提供针对本项目的维保服务方案，评委根据维保服务方案的详细性、合理性进行综合评分：满分12分</w:t>
            </w:r>
            <w:bookmarkStart w:id="0" w:name="_GoBack"/>
            <w:bookmarkEnd w:id="0"/>
            <w:r>
              <w:rPr>
                <w:rFonts w:eastAsia="仿宋"/>
                <w:szCs w:val="21"/>
              </w:rPr>
              <w:t>；</w:t>
            </w:r>
          </w:p>
          <w:p>
            <w:pPr>
              <w:numPr>
                <w:ilvl w:val="0"/>
                <w:numId w:val="1"/>
              </w:numPr>
              <w:spacing w:line="262" w:lineRule="exact"/>
              <w:ind w:left="80"/>
              <w:rPr>
                <w:rFonts w:eastAsia="仿宋"/>
                <w:szCs w:val="21"/>
              </w:rPr>
            </w:pPr>
            <w:r>
              <w:rPr>
                <w:rFonts w:eastAsia="仿宋"/>
                <w:szCs w:val="21"/>
              </w:rPr>
              <w:t>维保服务方案非常详细且科学合理的，得 6-10分；</w:t>
            </w:r>
          </w:p>
          <w:p>
            <w:pPr>
              <w:numPr>
                <w:ilvl w:val="0"/>
                <w:numId w:val="1"/>
              </w:numPr>
              <w:spacing w:line="262" w:lineRule="exact"/>
              <w:ind w:left="80"/>
              <w:rPr>
                <w:rFonts w:eastAsia="仿宋"/>
                <w:szCs w:val="21"/>
              </w:rPr>
            </w:pPr>
            <w:r>
              <w:rPr>
                <w:rFonts w:eastAsia="仿宋"/>
                <w:szCs w:val="21"/>
              </w:rPr>
              <w:t>维保服务方案详细性和合理性均一般的，得 3-6 分；</w:t>
            </w:r>
          </w:p>
          <w:p>
            <w:pPr>
              <w:numPr>
                <w:ilvl w:val="0"/>
                <w:numId w:val="1"/>
              </w:numPr>
              <w:spacing w:line="262" w:lineRule="exact"/>
              <w:ind w:left="80"/>
              <w:rPr>
                <w:rFonts w:eastAsia="仿宋"/>
                <w:szCs w:val="21"/>
              </w:rPr>
            </w:pPr>
            <w:r>
              <w:rPr>
                <w:rFonts w:eastAsia="仿宋"/>
                <w:szCs w:val="21"/>
              </w:rPr>
              <w:t>维保服务方案详细性和合理性均一般的，得 3-6 分；</w:t>
            </w:r>
          </w:p>
          <w:p>
            <w:pPr>
              <w:numPr>
                <w:ilvl w:val="0"/>
                <w:numId w:val="1"/>
              </w:numPr>
              <w:spacing w:line="262" w:lineRule="exact"/>
              <w:ind w:left="80"/>
              <w:rPr>
                <w:rFonts w:eastAsia="仿宋"/>
                <w:szCs w:val="21"/>
              </w:rPr>
            </w:pPr>
            <w:r>
              <w:rPr>
                <w:rFonts w:eastAsia="仿宋"/>
                <w:b/>
                <w:bCs/>
                <w:szCs w:val="21"/>
              </w:rPr>
              <w:t>投标文件中未提供维保服务方案的不得分。</w:t>
            </w:r>
          </w:p>
        </w:tc>
        <w:tc>
          <w:tcPr>
            <w:tcW w:w="1275" w:type="dxa"/>
            <w:vAlign w:val="center"/>
          </w:tcPr>
          <w:p>
            <w:pPr>
              <w:jc w:val="center"/>
              <w:rPr>
                <w:rFonts w:eastAsia="仿宋"/>
                <w:szCs w:val="21"/>
              </w:rPr>
            </w:pPr>
            <w:r>
              <w:rPr>
                <w:rFonts w:eastAsia="仿宋"/>
                <w:b/>
                <w:bCs/>
                <w:w w:val="92"/>
                <w:szCs w:val="21"/>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1186" w:type="dxa"/>
            <w:vMerge w:val="continue"/>
          </w:tcPr>
          <w:p>
            <w:pPr>
              <w:rPr>
                <w:rFonts w:eastAsia="仿宋"/>
                <w:sz w:val="24"/>
                <w:szCs w:val="24"/>
              </w:rPr>
            </w:pPr>
          </w:p>
        </w:tc>
        <w:tc>
          <w:tcPr>
            <w:tcW w:w="1332" w:type="dxa"/>
            <w:vAlign w:val="center"/>
          </w:tcPr>
          <w:p>
            <w:pPr>
              <w:jc w:val="center"/>
              <w:rPr>
                <w:rFonts w:eastAsia="仿宋"/>
                <w:szCs w:val="21"/>
              </w:rPr>
            </w:pPr>
            <w:r>
              <w:rPr>
                <w:rFonts w:eastAsia="仿宋"/>
                <w:w w:val="99"/>
                <w:szCs w:val="21"/>
              </w:rPr>
              <w:t>应急预案</w:t>
            </w:r>
          </w:p>
        </w:tc>
        <w:tc>
          <w:tcPr>
            <w:tcW w:w="5387" w:type="dxa"/>
          </w:tcPr>
          <w:p>
            <w:pPr>
              <w:rPr>
                <w:rFonts w:eastAsia="仿宋"/>
                <w:szCs w:val="21"/>
              </w:rPr>
            </w:pPr>
            <w:r>
              <w:rPr>
                <w:rFonts w:eastAsia="仿宋"/>
                <w:szCs w:val="21"/>
              </w:rPr>
              <w:t>投标供应商在投标文件中提供针对本项目的服务保障及应急预案，评委根据服务保障及应急预案的详细性、合理性进行综合评分：满分:10分</w:t>
            </w:r>
          </w:p>
          <w:p>
            <w:pPr>
              <w:numPr>
                <w:ilvl w:val="0"/>
                <w:numId w:val="2"/>
              </w:numPr>
              <w:rPr>
                <w:rFonts w:eastAsia="仿宋"/>
                <w:szCs w:val="21"/>
              </w:rPr>
            </w:pPr>
            <w:r>
              <w:rPr>
                <w:rFonts w:eastAsia="仿宋"/>
                <w:w w:val="95"/>
                <w:szCs w:val="21"/>
              </w:rPr>
              <w:t>服务保障及应急预案非常详细且科学合理的，得 6-10 分；</w:t>
            </w:r>
          </w:p>
          <w:p>
            <w:pPr>
              <w:numPr>
                <w:ilvl w:val="0"/>
                <w:numId w:val="2"/>
              </w:numPr>
              <w:rPr>
                <w:rFonts w:eastAsia="仿宋"/>
                <w:szCs w:val="21"/>
              </w:rPr>
            </w:pPr>
            <w:r>
              <w:rPr>
                <w:rFonts w:eastAsia="仿宋"/>
                <w:szCs w:val="21"/>
              </w:rPr>
              <w:t>服务保障及应急预案详细性和合理性均一般的，得 1-6分；</w:t>
            </w:r>
          </w:p>
          <w:p>
            <w:pPr>
              <w:numPr>
                <w:ilvl w:val="0"/>
                <w:numId w:val="2"/>
              </w:numPr>
              <w:rPr>
                <w:rFonts w:eastAsia="仿宋"/>
                <w:szCs w:val="21"/>
              </w:rPr>
            </w:pPr>
            <w:r>
              <w:rPr>
                <w:rFonts w:eastAsia="仿宋"/>
                <w:b/>
                <w:bCs/>
                <w:szCs w:val="21"/>
              </w:rPr>
              <w:t>投标文件中未提供服务保障及应急预案的不得分。</w:t>
            </w:r>
          </w:p>
        </w:tc>
        <w:tc>
          <w:tcPr>
            <w:tcW w:w="1275" w:type="dxa"/>
            <w:vAlign w:val="center"/>
          </w:tcPr>
          <w:p>
            <w:pPr>
              <w:jc w:val="center"/>
              <w:rPr>
                <w:rFonts w:eastAsia="仿宋"/>
                <w:szCs w:val="21"/>
              </w:rPr>
            </w:pPr>
            <w:r>
              <w:rPr>
                <w:rFonts w:eastAsia="仿宋"/>
                <w:b/>
                <w:bCs/>
                <w:szCs w:val="21"/>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186" w:type="dxa"/>
            <w:vMerge w:val="restart"/>
            <w:vAlign w:val="center"/>
          </w:tcPr>
          <w:p>
            <w:pPr>
              <w:ind w:firstLine="237" w:firstLineChars="100"/>
              <w:rPr>
                <w:rFonts w:eastAsia="仿宋"/>
                <w:w w:val="99"/>
                <w:sz w:val="24"/>
                <w:szCs w:val="24"/>
              </w:rPr>
            </w:pPr>
            <w:r>
              <w:rPr>
                <w:rFonts w:eastAsia="仿宋"/>
                <w:w w:val="99"/>
                <w:sz w:val="24"/>
                <w:szCs w:val="24"/>
              </w:rPr>
              <w:t>技术</w:t>
            </w:r>
          </w:p>
          <w:p>
            <w:pPr>
              <w:rPr>
                <w:rFonts w:eastAsia="仿宋"/>
                <w:sz w:val="24"/>
                <w:szCs w:val="24"/>
              </w:rPr>
            </w:pPr>
            <w:r>
              <w:rPr>
                <w:rFonts w:eastAsia="仿宋"/>
                <w:w w:val="99"/>
                <w:sz w:val="24"/>
                <w:szCs w:val="24"/>
              </w:rPr>
              <w:t>资 信 分</w:t>
            </w:r>
          </w:p>
        </w:tc>
        <w:tc>
          <w:tcPr>
            <w:tcW w:w="1332" w:type="dxa"/>
            <w:vAlign w:val="center"/>
          </w:tcPr>
          <w:p>
            <w:pPr>
              <w:jc w:val="center"/>
              <w:rPr>
                <w:rFonts w:eastAsia="仿宋"/>
                <w:w w:val="99"/>
                <w:szCs w:val="21"/>
              </w:rPr>
            </w:pPr>
            <w:r>
              <w:rPr>
                <w:rFonts w:eastAsia="仿宋"/>
                <w:w w:val="99"/>
                <w:szCs w:val="21"/>
              </w:rPr>
              <w:t>服务保障零配件承诺</w:t>
            </w:r>
          </w:p>
        </w:tc>
        <w:tc>
          <w:tcPr>
            <w:tcW w:w="5387" w:type="dxa"/>
          </w:tcPr>
          <w:p>
            <w:pPr>
              <w:spacing w:line="262" w:lineRule="exact"/>
              <w:ind w:left="80"/>
              <w:rPr>
                <w:rFonts w:eastAsia="仿宋"/>
                <w:szCs w:val="21"/>
              </w:rPr>
            </w:pPr>
            <w:r>
              <w:rPr>
                <w:rFonts w:eastAsia="仿宋"/>
                <w:szCs w:val="21"/>
              </w:rPr>
              <w:t>投标供应商在投标文件中明确承诺</w:t>
            </w:r>
            <w:r>
              <w:rPr>
                <w:rFonts w:eastAsia="仿宋"/>
                <w:b/>
                <w:bCs/>
                <w:szCs w:val="21"/>
              </w:rPr>
              <w:t>（承诺书格式自拟）</w:t>
            </w:r>
            <w:r>
              <w:rPr>
                <w:rFonts w:eastAsia="仿宋"/>
                <w:szCs w:val="21"/>
              </w:rPr>
              <w:t>提供 7*24 小时响应、故障应急处理服务及设备品牌厂家出具投标公司原厂零配件的声明的得10分，满分10分。</w:t>
            </w:r>
          </w:p>
          <w:p>
            <w:pPr>
              <w:rPr>
                <w:rFonts w:eastAsia="仿宋"/>
                <w:b/>
                <w:bCs/>
                <w:szCs w:val="21"/>
              </w:rPr>
            </w:pPr>
            <w:r>
              <w:rPr>
                <w:rFonts w:eastAsia="仿宋"/>
                <w:b/>
                <w:bCs/>
                <w:szCs w:val="21"/>
              </w:rPr>
              <w:t>备注：提供扫描件（盖章），原件备查；</w:t>
            </w:r>
          </w:p>
        </w:tc>
        <w:tc>
          <w:tcPr>
            <w:tcW w:w="1275" w:type="dxa"/>
            <w:vAlign w:val="center"/>
          </w:tcPr>
          <w:p>
            <w:pPr>
              <w:jc w:val="center"/>
              <w:rPr>
                <w:rFonts w:eastAsia="仿宋"/>
                <w:b/>
                <w:bCs/>
                <w:szCs w:val="21"/>
              </w:rPr>
            </w:pPr>
            <w:r>
              <w:rPr>
                <w:rFonts w:eastAsia="仿宋"/>
                <w:b/>
                <w:bCs/>
                <w:szCs w:val="21"/>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186" w:type="dxa"/>
            <w:vMerge w:val="continue"/>
          </w:tcPr>
          <w:p>
            <w:pPr>
              <w:rPr>
                <w:rFonts w:eastAsia="仿宋"/>
                <w:sz w:val="24"/>
                <w:szCs w:val="24"/>
              </w:rPr>
            </w:pPr>
          </w:p>
        </w:tc>
        <w:tc>
          <w:tcPr>
            <w:tcW w:w="1332" w:type="dxa"/>
            <w:vAlign w:val="center"/>
          </w:tcPr>
          <w:p>
            <w:pPr>
              <w:ind w:firstLine="207" w:firstLineChars="100"/>
              <w:rPr>
                <w:rFonts w:eastAsia="仿宋"/>
                <w:w w:val="99"/>
                <w:szCs w:val="21"/>
              </w:rPr>
            </w:pPr>
            <w:r>
              <w:rPr>
                <w:rFonts w:eastAsia="仿宋"/>
                <w:w w:val="99"/>
                <w:szCs w:val="21"/>
              </w:rPr>
              <w:t>服务能力</w:t>
            </w:r>
          </w:p>
        </w:tc>
        <w:tc>
          <w:tcPr>
            <w:tcW w:w="5387" w:type="dxa"/>
          </w:tcPr>
          <w:p>
            <w:pPr>
              <w:spacing w:line="274" w:lineRule="exact"/>
              <w:ind w:left="80"/>
              <w:rPr>
                <w:rFonts w:eastAsia="仿宋"/>
                <w:color w:val="000000"/>
                <w:szCs w:val="21"/>
              </w:rPr>
            </w:pPr>
            <w:r>
              <w:rPr>
                <w:rFonts w:eastAsia="仿宋"/>
                <w:color w:val="000000"/>
                <w:szCs w:val="21"/>
              </w:rPr>
              <w:t>投标供应商维保人员充足且均持证上岗，每提供一个持制冷工证的维保人员的得2分，满分10分。</w:t>
            </w:r>
          </w:p>
          <w:p>
            <w:pPr>
              <w:rPr>
                <w:rFonts w:eastAsia="仿宋"/>
                <w:b/>
                <w:bCs/>
                <w:szCs w:val="21"/>
              </w:rPr>
            </w:pPr>
            <w:r>
              <w:rPr>
                <w:rFonts w:eastAsia="仿宋"/>
                <w:b/>
                <w:bCs/>
                <w:color w:val="000000"/>
                <w:szCs w:val="21"/>
              </w:rPr>
              <w:t>备注：提供证书及社保部门出具的本单位社保证明材料扫描件（原件备查）。</w:t>
            </w:r>
          </w:p>
        </w:tc>
        <w:tc>
          <w:tcPr>
            <w:tcW w:w="1275" w:type="dxa"/>
            <w:vAlign w:val="center"/>
          </w:tcPr>
          <w:p>
            <w:pPr>
              <w:jc w:val="center"/>
              <w:rPr>
                <w:rFonts w:eastAsia="仿宋"/>
                <w:b/>
                <w:bCs/>
                <w:szCs w:val="21"/>
              </w:rPr>
            </w:pPr>
            <w:r>
              <w:rPr>
                <w:rFonts w:eastAsia="仿宋"/>
                <w:b/>
                <w:bCs/>
                <w:szCs w:val="21"/>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186" w:type="dxa"/>
            <w:vMerge w:val="continue"/>
          </w:tcPr>
          <w:p>
            <w:pPr>
              <w:rPr>
                <w:rFonts w:eastAsia="仿宋"/>
                <w:sz w:val="24"/>
                <w:szCs w:val="24"/>
              </w:rPr>
            </w:pPr>
          </w:p>
        </w:tc>
        <w:tc>
          <w:tcPr>
            <w:tcW w:w="1332" w:type="dxa"/>
            <w:vAlign w:val="center"/>
          </w:tcPr>
          <w:p>
            <w:pPr>
              <w:jc w:val="center"/>
              <w:rPr>
                <w:rFonts w:eastAsia="仿宋"/>
                <w:szCs w:val="21"/>
              </w:rPr>
            </w:pPr>
            <w:r>
              <w:rPr>
                <w:rFonts w:eastAsia="仿宋"/>
                <w:w w:val="99"/>
                <w:szCs w:val="21"/>
              </w:rPr>
              <w:t>投标供应商要求</w:t>
            </w:r>
          </w:p>
        </w:tc>
        <w:tc>
          <w:tcPr>
            <w:tcW w:w="5387" w:type="dxa"/>
          </w:tcPr>
          <w:p>
            <w:pPr>
              <w:rPr>
                <w:rFonts w:eastAsia="仿宋"/>
                <w:color w:val="000000"/>
                <w:szCs w:val="21"/>
              </w:rPr>
            </w:pPr>
            <w:r>
              <w:rPr>
                <w:rFonts w:eastAsia="仿宋"/>
                <w:color w:val="000000"/>
                <w:szCs w:val="21"/>
              </w:rPr>
              <w:t>1、投标供应商中国制冷空调设备维修安装企业资质证书D/I及以上的得 4分，扫描件盖章（提供原件备查）。</w:t>
            </w:r>
          </w:p>
          <w:p>
            <w:pPr>
              <w:rPr>
                <w:rFonts w:eastAsia="仿宋"/>
                <w:szCs w:val="21"/>
              </w:rPr>
            </w:pPr>
            <w:r>
              <w:rPr>
                <w:rFonts w:eastAsia="仿宋"/>
                <w:color w:val="000000"/>
                <w:kern w:val="0"/>
                <w:szCs w:val="21"/>
              </w:rPr>
              <w:t>2、投标供应商获得省级“高新技术企业”证书的，得 2分。</w:t>
            </w:r>
          </w:p>
          <w:p>
            <w:pPr>
              <w:rPr>
                <w:rFonts w:eastAsia="仿宋"/>
                <w:szCs w:val="21"/>
              </w:rPr>
            </w:pPr>
            <w:r>
              <w:rPr>
                <w:rFonts w:eastAsia="仿宋"/>
                <w:color w:val="000000"/>
                <w:kern w:val="0"/>
                <w:szCs w:val="21"/>
              </w:rPr>
              <w:t>2、投标供应商具有ISO9001质量体系认证、ISO14001环境体系认证和OHSAS18001职业健康安全管理体系认证书的，每证得2分，共6分（认证范围需包含空调维修等内容）。提供证书复印件以及全国认证认可信息公共服务平台查询截图及网址。</w:t>
            </w:r>
          </w:p>
        </w:tc>
        <w:tc>
          <w:tcPr>
            <w:tcW w:w="1275" w:type="dxa"/>
            <w:vAlign w:val="center"/>
          </w:tcPr>
          <w:p>
            <w:pPr>
              <w:jc w:val="center"/>
              <w:rPr>
                <w:rFonts w:eastAsia="仿宋"/>
                <w:b/>
                <w:bCs/>
                <w:szCs w:val="21"/>
              </w:rPr>
            </w:pPr>
            <w:r>
              <w:rPr>
                <w:rFonts w:eastAsia="仿宋"/>
                <w:b/>
                <w:bCs/>
                <w:szCs w:val="21"/>
              </w:rPr>
              <w:t>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trPr>
        <w:tc>
          <w:tcPr>
            <w:tcW w:w="1186" w:type="dxa"/>
            <w:vMerge w:val="continue"/>
          </w:tcPr>
          <w:p>
            <w:pPr>
              <w:rPr>
                <w:rFonts w:eastAsia="仿宋"/>
                <w:sz w:val="24"/>
                <w:szCs w:val="24"/>
              </w:rPr>
            </w:pPr>
          </w:p>
        </w:tc>
        <w:tc>
          <w:tcPr>
            <w:tcW w:w="1332" w:type="dxa"/>
            <w:vAlign w:val="center"/>
          </w:tcPr>
          <w:p>
            <w:pPr>
              <w:jc w:val="center"/>
              <w:rPr>
                <w:rFonts w:eastAsia="仿宋"/>
                <w:szCs w:val="21"/>
              </w:rPr>
            </w:pPr>
            <w:r>
              <w:rPr>
                <w:rFonts w:eastAsia="仿宋"/>
                <w:szCs w:val="21"/>
              </w:rPr>
              <w:t>企业荣誉</w:t>
            </w:r>
          </w:p>
        </w:tc>
        <w:tc>
          <w:tcPr>
            <w:tcW w:w="5387" w:type="dxa"/>
          </w:tcPr>
          <w:p>
            <w:pPr>
              <w:pStyle w:val="4"/>
              <w:numPr>
                <w:ilvl w:val="0"/>
                <w:numId w:val="3"/>
              </w:numPr>
              <w:jc w:val="both"/>
              <w:rPr>
                <w:rFonts w:hint="eastAsia" w:eastAsia="仿宋"/>
                <w:color w:val="000000"/>
                <w:sz w:val="21"/>
                <w:szCs w:val="21"/>
              </w:rPr>
            </w:pPr>
            <w:r>
              <w:rPr>
                <w:rFonts w:eastAsia="仿宋"/>
                <w:color w:val="000000"/>
                <w:sz w:val="21"/>
                <w:szCs w:val="21"/>
              </w:rPr>
              <w:t>投标供应商获得AAA信用等级，AAA质量服务诚信单位奖项或认证的（颁发证书的单位可以为工商管理部门、协会、银监系统）得3分，缺一个扣2分，扣完为止，提供原件备查。</w:t>
            </w:r>
          </w:p>
          <w:p>
            <w:pPr>
              <w:pStyle w:val="4"/>
              <w:numPr>
                <w:ilvl w:val="0"/>
                <w:numId w:val="3"/>
              </w:numPr>
              <w:jc w:val="both"/>
              <w:rPr>
                <w:rFonts w:hint="eastAsia" w:eastAsia="仿宋"/>
                <w:color w:val="000000"/>
                <w:sz w:val="21"/>
                <w:szCs w:val="21"/>
              </w:rPr>
            </w:pPr>
            <w:r>
              <w:rPr>
                <w:rFonts w:eastAsia="仿宋"/>
                <w:color w:val="000000"/>
                <w:sz w:val="21"/>
                <w:szCs w:val="21"/>
              </w:rPr>
              <w:t>投标供应商近三年被工商行政管理部门评为“守合同重信用”企业的得2分，没有不得分。</w:t>
            </w:r>
          </w:p>
          <w:p>
            <w:pPr>
              <w:pStyle w:val="4"/>
              <w:numPr>
                <w:ilvl w:val="0"/>
                <w:numId w:val="3"/>
              </w:numPr>
              <w:jc w:val="both"/>
              <w:rPr>
                <w:rFonts w:eastAsia="仿宋"/>
                <w:color w:val="000000"/>
                <w:sz w:val="21"/>
                <w:szCs w:val="21"/>
              </w:rPr>
            </w:pPr>
            <w:r>
              <w:rPr>
                <w:rFonts w:eastAsia="仿宋"/>
                <w:color w:val="000000"/>
                <w:sz w:val="21"/>
                <w:szCs w:val="21"/>
              </w:rPr>
              <w:t>投标供应商自2015年01月1日以来，获得一个“优质工程奖”的5分，满分5分.</w:t>
            </w:r>
          </w:p>
        </w:tc>
        <w:tc>
          <w:tcPr>
            <w:tcW w:w="1275" w:type="dxa"/>
            <w:vAlign w:val="center"/>
          </w:tcPr>
          <w:p>
            <w:pPr>
              <w:jc w:val="center"/>
              <w:rPr>
                <w:rFonts w:eastAsia="仿宋"/>
                <w:b/>
                <w:bCs/>
                <w:szCs w:val="21"/>
              </w:rPr>
            </w:pPr>
            <w:r>
              <w:rPr>
                <w:rFonts w:eastAsia="仿宋"/>
                <w:b/>
                <w:bCs/>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1186" w:type="dxa"/>
            <w:vMerge w:val="continue"/>
          </w:tcPr>
          <w:p>
            <w:pPr>
              <w:rPr>
                <w:rFonts w:eastAsia="仿宋"/>
                <w:sz w:val="24"/>
                <w:szCs w:val="24"/>
              </w:rPr>
            </w:pPr>
          </w:p>
        </w:tc>
        <w:tc>
          <w:tcPr>
            <w:tcW w:w="1332" w:type="dxa"/>
            <w:vAlign w:val="center"/>
          </w:tcPr>
          <w:p>
            <w:pPr>
              <w:jc w:val="center"/>
              <w:rPr>
                <w:rFonts w:eastAsia="仿宋"/>
                <w:szCs w:val="21"/>
              </w:rPr>
            </w:pPr>
            <w:r>
              <w:rPr>
                <w:rFonts w:eastAsia="仿宋"/>
                <w:szCs w:val="21"/>
              </w:rPr>
              <w:t>企业业绩</w:t>
            </w:r>
          </w:p>
        </w:tc>
        <w:tc>
          <w:tcPr>
            <w:tcW w:w="5387" w:type="dxa"/>
          </w:tcPr>
          <w:p>
            <w:pPr>
              <w:widowControl/>
              <w:jc w:val="left"/>
              <w:rPr>
                <w:rFonts w:eastAsia="仿宋"/>
                <w:color w:val="000000"/>
                <w:kern w:val="0"/>
                <w:szCs w:val="21"/>
              </w:rPr>
            </w:pPr>
            <w:r>
              <w:rPr>
                <w:rFonts w:eastAsia="仿宋"/>
                <w:color w:val="000000"/>
                <w:kern w:val="0"/>
                <w:szCs w:val="21"/>
              </w:rPr>
              <w:t>2016年1月1日以来（以合同签订日期为准）：</w:t>
            </w:r>
          </w:p>
          <w:p>
            <w:pPr>
              <w:widowControl/>
              <w:jc w:val="left"/>
              <w:rPr>
                <w:rFonts w:eastAsia="仿宋"/>
                <w:color w:val="000000"/>
                <w:kern w:val="0"/>
                <w:szCs w:val="21"/>
              </w:rPr>
            </w:pPr>
            <w:r>
              <w:rPr>
                <w:rFonts w:eastAsia="仿宋"/>
                <w:color w:val="000000"/>
                <w:kern w:val="0"/>
                <w:szCs w:val="21"/>
              </w:rPr>
              <w:t>具有学校类单项空调维保维修合同金额10万以上并具有业主好评的，每提供一份得2分，满分8分。</w:t>
            </w:r>
          </w:p>
          <w:p>
            <w:pPr>
              <w:widowControl/>
              <w:jc w:val="left"/>
              <w:rPr>
                <w:rFonts w:eastAsia="仿宋"/>
                <w:szCs w:val="21"/>
              </w:rPr>
            </w:pPr>
            <w:r>
              <w:rPr>
                <w:rFonts w:eastAsia="仿宋"/>
                <w:color w:val="000000"/>
                <w:kern w:val="0"/>
                <w:szCs w:val="21"/>
              </w:rPr>
              <w:t>提供合同扫描件，并盖章（原件备查）。</w:t>
            </w:r>
          </w:p>
        </w:tc>
        <w:tc>
          <w:tcPr>
            <w:tcW w:w="1275" w:type="dxa"/>
            <w:vAlign w:val="center"/>
          </w:tcPr>
          <w:p>
            <w:pPr>
              <w:jc w:val="center"/>
              <w:rPr>
                <w:rFonts w:eastAsia="仿宋"/>
                <w:szCs w:val="21"/>
              </w:rPr>
            </w:pPr>
            <w:r>
              <w:rPr>
                <w:rFonts w:eastAsia="仿宋"/>
                <w:b/>
                <w:bCs/>
                <w:szCs w:val="21"/>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86" w:type="dxa"/>
          </w:tcPr>
          <w:p>
            <w:pPr>
              <w:rPr>
                <w:rFonts w:eastAsia="仿宋"/>
                <w:sz w:val="24"/>
                <w:szCs w:val="24"/>
              </w:rPr>
            </w:pPr>
            <w:r>
              <w:rPr>
                <w:rFonts w:eastAsia="仿宋"/>
                <w:color w:val="000000"/>
                <w:kern w:val="0"/>
                <w:sz w:val="24"/>
                <w:szCs w:val="24"/>
              </w:rPr>
              <w:t>价格分基准价30分</w:t>
            </w:r>
          </w:p>
        </w:tc>
        <w:tc>
          <w:tcPr>
            <w:tcW w:w="7994" w:type="dxa"/>
            <w:gridSpan w:val="3"/>
          </w:tcPr>
          <w:p>
            <w:pPr>
              <w:rPr>
                <w:rFonts w:eastAsia="仿宋"/>
                <w:szCs w:val="21"/>
              </w:rPr>
            </w:pPr>
            <w:r>
              <w:rPr>
                <w:rFonts w:eastAsia="仿宋"/>
                <w:color w:val="000000"/>
                <w:kern w:val="0"/>
                <w:szCs w:val="21"/>
              </w:rPr>
              <w:t>价格分统一采用低价优先法，即满足磋商文件要求且投标价格最低的投标报价为评标基准价，其价格分为满分30分。其他投标供应商的价格分统一按照下列公式计算：</w:t>
            </w:r>
            <w:r>
              <w:rPr>
                <w:rFonts w:eastAsia="仿宋"/>
                <w:color w:val="000000"/>
                <w:kern w:val="0"/>
                <w:szCs w:val="21"/>
              </w:rPr>
              <w:br w:type="textWrapping"/>
            </w:r>
            <w:r>
              <w:rPr>
                <w:rFonts w:eastAsia="仿宋"/>
                <w:color w:val="000000"/>
                <w:kern w:val="0"/>
                <w:szCs w:val="21"/>
              </w:rPr>
              <w:t>投标报价得分＝（评标基准价/投标报价）×30％×100</w:t>
            </w:r>
          </w:p>
        </w:tc>
      </w:tr>
    </w:tbl>
    <w:p>
      <w:pPr>
        <w:pStyle w:val="4"/>
        <w:widowControl/>
        <w:spacing w:beforeAutospacing="0" w:afterAutospacing="0" w:line="240" w:lineRule="atLeast"/>
        <w:ind w:firstLine="6240" w:firstLineChars="2600"/>
        <w:jc w:val="both"/>
        <w:rPr>
          <w:rFonts w:eastAsia="仿宋"/>
          <w:color w:val="000000"/>
          <w:szCs w:val="24"/>
        </w:rPr>
      </w:pPr>
    </w:p>
    <w:p/>
    <w:sectPr>
      <w:footerReference r:id="rId3" w:type="default"/>
      <w:pgSz w:w="11907" w:h="16840"/>
      <w:pgMar w:top="1417" w:right="1134" w:bottom="1417" w:left="141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ascii="Arial" w:hAnsi="Arial" w:cs="Arial"/>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t>60</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QYRcVAgAAFw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TQYRcVAgAAFwQAAA4AAAAAAAAA&#10;AQAgAAAAHwEAAGRycy9lMm9Eb2MueG1sUEsFBgAAAAAGAAYAWQEAAKYFAAAAAA==&#10;">
              <v:fill on="f" focussize="0,0"/>
              <v:stroke on="f" weight="0.5pt"/>
              <v:imagedata o:title=""/>
              <o:lock v:ext="edit" aspectratio="f"/>
              <v:textbox inset="0mm,0mm,0mm,0mm" style="mso-fit-shape-to-text:t;">
                <w:txbxContent>
                  <w:p>
                    <w:pPr>
                      <w:pStyle w:val="3"/>
                    </w:pPr>
                    <w:r>
                      <w:rPr>
                        <w:rFonts w:hint="eastAsia"/>
                      </w:rPr>
                      <w:t>60</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22FAB"/>
    <w:multiLevelType w:val="singleLevel"/>
    <w:tmpl w:val="91522FAB"/>
    <w:lvl w:ilvl="0" w:tentative="0">
      <w:start w:val="1"/>
      <w:numFmt w:val="decimal"/>
      <w:suff w:val="nothing"/>
      <w:lvlText w:val="%1、"/>
      <w:lvlJc w:val="left"/>
    </w:lvl>
  </w:abstractNum>
  <w:abstractNum w:abstractNumId="1">
    <w:nsid w:val="D9F991AC"/>
    <w:multiLevelType w:val="singleLevel"/>
    <w:tmpl w:val="D9F991AC"/>
    <w:lvl w:ilvl="0" w:tentative="0">
      <w:start w:val="1"/>
      <w:numFmt w:val="decimal"/>
      <w:suff w:val="nothing"/>
      <w:lvlText w:val="%1、"/>
      <w:lvlJc w:val="left"/>
    </w:lvl>
  </w:abstractNum>
  <w:abstractNum w:abstractNumId="2">
    <w:nsid w:val="4F10A171"/>
    <w:multiLevelType w:val="singleLevel"/>
    <w:tmpl w:val="4F10A17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E1830"/>
    <w:rsid w:val="537471D1"/>
    <w:rsid w:val="5B556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acer</dc:creator>
  <cp:lastModifiedBy>acer</cp:lastModifiedBy>
  <dcterms:modified xsi:type="dcterms:W3CDTF">2019-10-30T07:13:45Z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