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bookmarkStart w:id="1" w:name="_GoBack"/>
      <w:bookmarkStart w:id="0" w:name="_Hlk69475409"/>
      <w:r>
        <w:rPr>
          <w:rFonts w:hint="eastAsia" w:ascii="宋体" w:hAnsi="宋体" w:eastAsia="宋体" w:cs="宋体"/>
          <w:kern w:val="0"/>
          <w:sz w:val="24"/>
          <w:szCs w:val="24"/>
        </w:rPr>
        <w:t>附件1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  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评审方法及标准 </w:t>
      </w:r>
      <w:bookmarkEnd w:id="0"/>
    </w:p>
    <w:bookmarkEnd w:id="1"/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本次招标采用综合评审，评标小组首先将对各投标人基本资格进行符合性审查，同时对投标资料的相应性进行初审，未通过初审的供应商将不参与综合评审。 </w:t>
      </w:r>
    </w:p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一、初审 </w:t>
      </w:r>
    </w:p>
    <w:p>
      <w:pPr>
        <w:widowControl/>
        <w:shd w:val="clear" w:color="auto" w:fill="FFFFFF"/>
        <w:spacing w:line="540" w:lineRule="atLeast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初审指标如下： </w:t>
      </w:r>
    </w:p>
    <w:tbl>
      <w:tblPr>
        <w:tblStyle w:val="2"/>
        <w:tblW w:w="5000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2606"/>
        <w:gridCol w:w="1837"/>
        <w:gridCol w:w="1237"/>
        <w:gridCol w:w="198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合肥工业学校档案整理及数字化服务项目初审表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　供应商：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实质性响应评审指标</w:t>
            </w:r>
          </w:p>
        </w:tc>
        <w:tc>
          <w:tcPr>
            <w:tcW w:w="110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评审要求</w:t>
            </w:r>
          </w:p>
        </w:tc>
        <w:tc>
          <w:tcPr>
            <w:tcW w:w="74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是否通过</w:t>
            </w:r>
          </w:p>
        </w:tc>
        <w:tc>
          <w:tcPr>
            <w:tcW w:w="118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响应文件格式及提交资料要求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6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　营业执照 </w:t>
            </w:r>
          </w:p>
        </w:tc>
        <w:tc>
          <w:tcPr>
            <w:tcW w:w="110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　合法有效 </w:t>
            </w:r>
          </w:p>
        </w:tc>
        <w:tc>
          <w:tcPr>
            <w:tcW w:w="74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　  </w:t>
            </w:r>
          </w:p>
        </w:tc>
        <w:tc>
          <w:tcPr>
            <w:tcW w:w="118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　提供有效的营业执照的扫描件或影印件，应完整的体现出营业执照的全部内容。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6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　无重大违法记录声明函、无不良信用声明函 </w:t>
            </w:r>
          </w:p>
        </w:tc>
        <w:tc>
          <w:tcPr>
            <w:tcW w:w="110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　  </w:t>
            </w:r>
          </w:p>
        </w:tc>
        <w:tc>
          <w:tcPr>
            <w:tcW w:w="74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　  </w:t>
            </w:r>
          </w:p>
        </w:tc>
        <w:tc>
          <w:tcPr>
            <w:tcW w:w="118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　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56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　授权书 </w:t>
            </w:r>
          </w:p>
        </w:tc>
        <w:tc>
          <w:tcPr>
            <w:tcW w:w="110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　  </w:t>
            </w:r>
          </w:p>
        </w:tc>
        <w:tc>
          <w:tcPr>
            <w:tcW w:w="74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　  </w:t>
            </w:r>
          </w:p>
        </w:tc>
        <w:tc>
          <w:tcPr>
            <w:tcW w:w="118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　法定代表人参加的无需此件，提供身份证明即可。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56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　其他要求 </w:t>
            </w:r>
          </w:p>
        </w:tc>
        <w:tc>
          <w:tcPr>
            <w:tcW w:w="110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　法律、行政法规规定的其他条件。 </w:t>
            </w:r>
          </w:p>
        </w:tc>
        <w:tc>
          <w:tcPr>
            <w:tcW w:w="74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　  </w:t>
            </w:r>
          </w:p>
        </w:tc>
        <w:tc>
          <w:tcPr>
            <w:tcW w:w="118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　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5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　评审指标通过标准：供应商必须通过上述全部指标。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5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　评委签字： </w:t>
            </w:r>
          </w:p>
          <w:p>
            <w:pPr>
              <w:widowControl/>
              <w:spacing w:line="5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　　评审时间： </w:t>
            </w:r>
          </w:p>
        </w:tc>
      </w:tr>
    </w:tbl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二、综合评审 </w:t>
      </w:r>
    </w:p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1、对响应文件进行综合评审。评标小组只对通过初审，实质上响应评标文件要求的响应文件按照下述指标表进行综合评审。 </w:t>
      </w:r>
    </w:p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2、本项目技术资信分值占总分值的权重为70%，价格分值占总分值的权重为30%。 </w:t>
      </w:r>
    </w:p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3、评分步骤如下： </w:t>
      </w:r>
    </w:p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（1）技术及资信分 </w:t>
      </w:r>
    </w:p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根据评分细则，评标小组应对进入综合评审的所有供应商进行评分，并分别填写综合评审表。 </w:t>
      </w:r>
    </w:p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技术及资信分汇总方法为：对某一供应商的每一个指标项得分，取各位评委评分之平均值，保留至小数点后两位数，得到该供应商该指标项的得分。再将供应商每个指标项得分进行汇总，得到该供应商的技术及资信分之和。 </w:t>
      </w:r>
    </w:p>
    <w:p>
      <w:pPr>
        <w:widowControl/>
        <w:shd w:val="clear" w:color="auto" w:fill="FFFFFF"/>
        <w:spacing w:line="540" w:lineRule="atLeast"/>
        <w:ind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技术及资信分的综合评审指标详见下表： </w:t>
      </w:r>
    </w:p>
    <w:tbl>
      <w:tblPr>
        <w:tblStyle w:val="2"/>
        <w:tblW w:w="915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939"/>
        <w:gridCol w:w="5528"/>
        <w:gridCol w:w="99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9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序号</w:t>
            </w:r>
          </w:p>
        </w:tc>
        <w:tc>
          <w:tcPr>
            <w:tcW w:w="1939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指标</w:t>
            </w:r>
          </w:p>
        </w:tc>
        <w:tc>
          <w:tcPr>
            <w:tcW w:w="5528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评分标准</w:t>
            </w: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分值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698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939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投标报价</w:t>
            </w:r>
          </w:p>
        </w:tc>
        <w:tc>
          <w:tcPr>
            <w:tcW w:w="5528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以通过商务标评审的最低投标报价为基准价，按以下公式计算商务标分值（保留小数点后两位 ，第三位四舍五入）：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　得分=（最低报价/投标报价）x25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备注：出现负值的，商务标按零分计算。</w:t>
            </w: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30</w:t>
            </w:r>
            <w:r>
              <w:rPr>
                <w:rFonts w:hint="eastAsia" w:ascii="宋体" w:hAnsi="宋体" w:eastAsia="宋体" w:cs="宋体"/>
                <w:szCs w:val="21"/>
              </w:rPr>
              <w:t>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698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939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企业荣誉</w:t>
            </w:r>
          </w:p>
        </w:tc>
        <w:tc>
          <w:tcPr>
            <w:tcW w:w="5528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（1）供应商提供国家级高新技术企业证书的得3分，没有不得分；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（2）供应商提供地市级数据资源局认定的大数据企业证书的得2分，没有不得分；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备注：所提供证书的单位名称需与投标单位名称一致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0-5分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  <w:jc w:val="center"/>
        </w:trPr>
        <w:tc>
          <w:tcPr>
            <w:tcW w:w="698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1939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技术方案</w:t>
            </w:r>
          </w:p>
        </w:tc>
        <w:tc>
          <w:tcPr>
            <w:tcW w:w="5528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（1）供应商对项目需求的了解分析。优：6-5分，良： 4-3分，一般：2分，差：1分；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（2）项目实施计划、质量承诺、工期安排。优：6-5分，良： 4-3分，一般：2分，差：1分；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（3）服务方案得可行性、完整性及后期服务的及时性。优：6-5分，良： 4-3分，一般：2分，差：1分；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（4）人员及其设备的合理安排。优：6-5分，良： 4-3分，一般：2分，差：1分。</w:t>
            </w: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0-</w:t>
            </w:r>
            <w:r>
              <w:rPr>
                <w:rFonts w:ascii="宋体" w:hAnsi="宋体" w:eastAsia="宋体" w:cs="宋体"/>
                <w:szCs w:val="21"/>
              </w:rPr>
              <w:t>15</w:t>
            </w:r>
            <w:r>
              <w:rPr>
                <w:rFonts w:hint="eastAsia" w:ascii="宋体" w:hAnsi="宋体" w:eastAsia="宋体" w:cs="宋体"/>
                <w:szCs w:val="21"/>
              </w:rPr>
              <w:t>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698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</w:t>
            </w:r>
          </w:p>
        </w:tc>
        <w:tc>
          <w:tcPr>
            <w:tcW w:w="1939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标准化档案室建设方案</w:t>
            </w:r>
          </w:p>
        </w:tc>
        <w:tc>
          <w:tcPr>
            <w:tcW w:w="5528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标准化档案室建设方案的可靠性、合理性，优：6-5分，良： 4-3分，一般：2分，差：1分</w:t>
            </w: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0-</w:t>
            </w:r>
            <w:r>
              <w:rPr>
                <w:rFonts w:ascii="宋体" w:hAnsi="宋体" w:eastAsia="宋体" w:cs="宋体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szCs w:val="21"/>
              </w:rPr>
              <w:t>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698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1939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实施案例</w:t>
            </w:r>
          </w:p>
        </w:tc>
        <w:tc>
          <w:tcPr>
            <w:tcW w:w="5528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（1）投标供应商提供2015年1月1日以来承接过县区级或以上档案局（馆）RFID（电子标签）档案管理系统软件项目的业绩合同，得5分（需提供中标通知书扫描件或影印件）；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2）投标供应商提供2015年1月1日以来承接过档案目标管理省一级或特级标准验收的服务业绩，每提供一个得0.5分，最高得2分；提供的业绩中有通过省特级标准验收的另外得2分（需提供通过验收的文件扫描件或影印件）；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（3）投标供应商提供2015年1月1日以来承接过档案目录加密检索系统开发项目的业绩合同，每一个合同得3分，最高得6分；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（3）投标供应商提供2015年1月1日以来承接过地市级高级中学档案服务的业绩合同，每提供1个得1分，最高得分5分；                            </w:t>
            </w:r>
          </w:p>
          <w:p>
            <w:pPr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备注：以上业绩不含正在履约项目，除了需要提供以上要求的材料外，还需提供业绩合同、验收报告、发票、收款回单的扫描件或影印件。</w:t>
            </w: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0-20分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698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1939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企业综合实力</w:t>
            </w:r>
          </w:p>
        </w:tc>
        <w:tc>
          <w:tcPr>
            <w:tcW w:w="5528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（1）具有自主知识产权的基于大数据技术的档案管理分析系统软件，并提供软件著作权证书得4分，不提供者不得分；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（2）具有自主知识产权的数字档案室安全管理系统，并提供软件著作权证书得4分，不提供者不得分；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（3）具有自主知识产权的数字档案电子标签管理系统，并提供软件著作权证书得4分，不提供者不得分；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（4）具有自主知识产权的数字档案检索系统，并提供软件著作权证书得4分，不提供者不得分；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（5）具有自主知识产权的档案信息资源智能集配服务平台，并提供软件著作权证书得4分，不提供者不得分；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备注：所提供证书的单位名称需与投标单位名称一致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0-20分</w:t>
            </w:r>
          </w:p>
        </w:tc>
      </w:tr>
    </w:tbl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</w:t>
      </w:r>
    </w:p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三、其他 </w:t>
      </w:r>
    </w:p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1.本次评标小组由合肥工业学校相关处室人员组成，驻校纪检组派员监督。 </w:t>
      </w:r>
    </w:p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2.招标单位联系人：秦主任，电话：0551-6</w:t>
      </w:r>
      <w:r>
        <w:rPr>
          <w:rFonts w:ascii="宋体" w:hAnsi="宋体" w:eastAsia="宋体" w:cs="宋体"/>
          <w:kern w:val="0"/>
          <w:sz w:val="24"/>
          <w:szCs w:val="24"/>
        </w:rPr>
        <w:t>5505007</w:t>
      </w:r>
      <w:r>
        <w:rPr>
          <w:rFonts w:hint="eastAsia" w:ascii="宋体" w:hAnsi="宋体" w:eastAsia="宋体" w:cs="宋体"/>
          <w:kern w:val="0"/>
          <w:sz w:val="24"/>
          <w:szCs w:val="24"/>
        </w:rPr>
        <w:t>。 </w:t>
      </w:r>
    </w:p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3.投标人</w:t>
      </w:r>
      <w:r>
        <w:rPr>
          <w:rFonts w:ascii="宋体" w:hAnsi="宋体" w:eastAsia="宋体" w:cs="宋体"/>
          <w:kern w:val="0"/>
          <w:sz w:val="24"/>
          <w:szCs w:val="24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月1日（工作日）前勘测施工现场（地址：合肥工业学校科技楼三楼，联系人：秦主任，电话：0551-6</w:t>
      </w:r>
      <w:r>
        <w:rPr>
          <w:rFonts w:ascii="宋体" w:hAnsi="宋体" w:eastAsia="宋体" w:cs="宋体"/>
          <w:kern w:val="0"/>
          <w:sz w:val="24"/>
          <w:szCs w:val="24"/>
        </w:rPr>
        <w:t>5505007</w:t>
      </w:r>
      <w:r>
        <w:rPr>
          <w:rFonts w:hint="eastAsia" w:ascii="宋体" w:hAnsi="宋体" w:eastAsia="宋体" w:cs="宋体"/>
          <w:kern w:val="0"/>
          <w:sz w:val="24"/>
          <w:szCs w:val="24"/>
        </w:rPr>
        <w:t>）。 </w:t>
      </w:r>
    </w:p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3.1供应商应自行对供货（安装）或服务现场和周围环境进行勘察，以获取编制文件和签署合同所需的资料。 </w:t>
      </w:r>
    </w:p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3.2勘察现场所发生的费用由供应商自己承担。采购人向供应商提供的有关本项目的资料和数据，是采购人现有的能使供应商利用的资料。采购人对供应商由此而做出的推论、理解和结论概不负责。供应商因自身原因未进行实地踏勘的，成交后签订合同时和履约过程中，不得以不完全了解现场情况为由，提出任何形式的增加合同外造价或索赔的要求。 </w:t>
      </w:r>
    </w:p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4.知识产权。 </w:t>
      </w:r>
    </w:p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4.1供应商必须保证，采购人在中华人民共和国境内使用评标货物、资料、技术、服务或其任何一部分时，享有不受限制的无偿使用权，不会产生因第三方提出侵犯其专利权、商标权或其它知识产权而引起的法律或经济纠纷。如供应商不拥有相应的知识产权，则在投标报价中必须包括合法获取该知识产权的一切相关费用。 </w:t>
      </w:r>
    </w:p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4.2供应商如欲在项目实施过程中采用自有知识成果，须在文件中声明，并提供相关知识产权证明文件。使用该知识成果后，供应商须提供开发接口和开发手册等技术文档。 </w:t>
      </w:r>
    </w:p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5.纪律与保密。 </w:t>
      </w:r>
    </w:p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5.1供应商的响应行为应遵守中国的有关法律、法规和规章。 </w:t>
      </w:r>
    </w:p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　　5.2供应商不得相互串通投标报价，不得妨碍其他供应商的公平竞争，不得损害采购人或其他供应商的合法权益，供应商不得以向采购人、评标小组成员行贿或者其他不正当手段谋取成交资格。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C5C1C"/>
    <w:rsid w:val="33EC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2021-04-19T00:09:00Z</dcterms:created>
  <dc:creator>俗人-O-只</dc:creator>
  <cp:lastModifiedBy>俗人-O-只</cp:lastModifiedBy>
  <dcterms:modified xsi:type="dcterms:W3CDTF">2021-04-19T00:10:50Z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D174064E6E434DC8856A3DE3067EFE57</vt:lpwstr>
  </property>
</Properties>
</file>