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bookmarkStart w:id="0" w:name="_Hlk69475409"/>
      <w:r>
        <w:rPr>
          <w:rFonts w:hint="eastAsia" w:ascii="宋体" w:hAnsi="宋体" w:eastAsia="宋体" w:cs="宋体"/>
          <w:kern w:val="0"/>
          <w:sz w:val="24"/>
          <w:szCs w:val="24"/>
        </w:rPr>
        <w:t>附件1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  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评审方法及标准 </w:t>
      </w:r>
      <w:bookmarkEnd w:id="0"/>
    </w:p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本次招标采用综合评审，评标小组首先将对各投标人基本资格进行符合性审查，同时对投标资料的相应性进行初审，未通过初审的供应商将不参与综合评审。 </w:t>
      </w:r>
    </w:p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一、初审 </w:t>
      </w:r>
    </w:p>
    <w:p>
      <w:pPr>
        <w:widowControl/>
        <w:shd w:val="clear" w:color="auto" w:fill="FFFFFF"/>
        <w:spacing w:line="540" w:lineRule="atLeast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初审指标如下： </w:t>
      </w:r>
    </w:p>
    <w:tbl>
      <w:tblPr>
        <w:tblStyle w:val="2"/>
        <w:tblW w:w="5000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2606"/>
        <w:gridCol w:w="1837"/>
        <w:gridCol w:w="1237"/>
        <w:gridCol w:w="198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合肥工业学校档案整理及数字化服务项目初审表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　供应商：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实质性响应评审指标</w:t>
            </w:r>
          </w:p>
        </w:tc>
        <w:tc>
          <w:tcPr>
            <w:tcW w:w="110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评审要求</w:t>
            </w:r>
          </w:p>
        </w:tc>
        <w:tc>
          <w:tcPr>
            <w:tcW w:w="74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是否通过</w:t>
            </w:r>
          </w:p>
        </w:tc>
        <w:tc>
          <w:tcPr>
            <w:tcW w:w="118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响应文件格式及提交资料要求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6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　营业执照 </w:t>
            </w:r>
          </w:p>
        </w:tc>
        <w:tc>
          <w:tcPr>
            <w:tcW w:w="110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　合法有效 </w:t>
            </w:r>
          </w:p>
        </w:tc>
        <w:tc>
          <w:tcPr>
            <w:tcW w:w="74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　  </w:t>
            </w:r>
          </w:p>
        </w:tc>
        <w:tc>
          <w:tcPr>
            <w:tcW w:w="118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　提供有效的营业执照的扫描件或影印件，应完整的体现出营业执照的全部内容。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6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　无重大违法记录声明函、无不良信用声明函 </w:t>
            </w:r>
          </w:p>
        </w:tc>
        <w:tc>
          <w:tcPr>
            <w:tcW w:w="110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　  </w:t>
            </w:r>
          </w:p>
        </w:tc>
        <w:tc>
          <w:tcPr>
            <w:tcW w:w="74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　  </w:t>
            </w:r>
          </w:p>
        </w:tc>
        <w:tc>
          <w:tcPr>
            <w:tcW w:w="118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　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56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　授权书 </w:t>
            </w:r>
          </w:p>
        </w:tc>
        <w:tc>
          <w:tcPr>
            <w:tcW w:w="110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　  </w:t>
            </w:r>
          </w:p>
        </w:tc>
        <w:tc>
          <w:tcPr>
            <w:tcW w:w="74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　  </w:t>
            </w:r>
          </w:p>
        </w:tc>
        <w:tc>
          <w:tcPr>
            <w:tcW w:w="118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　法定代表人参加的无需此件，提供身份证明即可。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56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　其他要求 </w:t>
            </w:r>
          </w:p>
        </w:tc>
        <w:tc>
          <w:tcPr>
            <w:tcW w:w="110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　法律、行政法规规定的其他条件。 </w:t>
            </w:r>
          </w:p>
        </w:tc>
        <w:tc>
          <w:tcPr>
            <w:tcW w:w="74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　  </w:t>
            </w:r>
          </w:p>
        </w:tc>
        <w:tc>
          <w:tcPr>
            <w:tcW w:w="118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　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　评审指标通过标准：供应商必须通过上述全部指标。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　评委签字： </w:t>
            </w:r>
          </w:p>
          <w:p>
            <w:pPr>
              <w:widowControl/>
              <w:spacing w:line="5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　评审时间： </w:t>
            </w:r>
          </w:p>
        </w:tc>
      </w:tr>
    </w:tbl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二、综合评审 </w:t>
      </w:r>
    </w:p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1、对响应文件进行综合评审。评标小组只对通过初审，实质上响应评标文件要求的响应文件按照下述指标表进行综合评审。 </w:t>
      </w:r>
    </w:p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2、本项目技术资信分值占总分值的权重为70%，价格分值占总分值的权重为30%。 </w:t>
      </w:r>
    </w:p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3、评分步骤如下： </w:t>
      </w:r>
    </w:p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（1）技术及资信分 </w:t>
      </w:r>
    </w:p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根据评分细则，评标小组应对进入综合评审的所有供应商进行评分，并分别填写综合评审表。 </w:t>
      </w:r>
    </w:p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技术及资信分汇总方法为：对某一供应商的每一个指标项得分，取各位评委评分之平均值，保留至小数点后两位数，得到该供应商该指标项的得分。再将供应商每个指标项得分进行汇总，得到该供应商的技术及资信分之和。 </w:t>
      </w:r>
    </w:p>
    <w:p>
      <w:pPr>
        <w:widowControl/>
        <w:shd w:val="clear" w:color="auto" w:fill="FFFFFF"/>
        <w:spacing w:line="540" w:lineRule="atLeast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技术及资信分的综合评审指标详见下表： </w:t>
      </w:r>
    </w:p>
    <w:tbl>
      <w:tblPr>
        <w:tblStyle w:val="2"/>
        <w:tblW w:w="915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939"/>
        <w:gridCol w:w="5528"/>
        <w:gridCol w:w="99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9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序号</w:t>
            </w:r>
          </w:p>
        </w:tc>
        <w:tc>
          <w:tcPr>
            <w:tcW w:w="193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指标</w:t>
            </w:r>
          </w:p>
        </w:tc>
        <w:tc>
          <w:tcPr>
            <w:tcW w:w="55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评分标准</w:t>
            </w: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分值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698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939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投标报价</w:t>
            </w:r>
          </w:p>
        </w:tc>
        <w:tc>
          <w:tcPr>
            <w:tcW w:w="5528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以通过商务标评审的最低投标报价为基准价，按以下公式计算商务标分值（保留小数点后两位 ，第三位四舍五入）：</w:t>
            </w:r>
          </w:p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　得分=（最低报价/投标报价）x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30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备注：出现负值的，商务标按零分计算。</w:t>
            </w: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30</w:t>
            </w:r>
            <w:r>
              <w:rPr>
                <w:rFonts w:hint="eastAsia" w:ascii="宋体" w:hAnsi="宋体" w:eastAsia="宋体" w:cs="宋体"/>
                <w:szCs w:val="21"/>
              </w:rPr>
              <w:t>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698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939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企业荣誉</w:t>
            </w:r>
          </w:p>
        </w:tc>
        <w:tc>
          <w:tcPr>
            <w:tcW w:w="5528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（1）供应商提供国家级高新技术企业证书的得3分，没有不得分；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（2）供应商提供地市级数据资源局认定的大数据企业证书的得2分，没有不得分；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备注：所提供证书的单位名称需与投标单位名称一致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0-5分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  <w:jc w:val="center"/>
        </w:trPr>
        <w:tc>
          <w:tcPr>
            <w:tcW w:w="698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1939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技术方案</w:t>
            </w:r>
          </w:p>
        </w:tc>
        <w:tc>
          <w:tcPr>
            <w:tcW w:w="5528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（1）供应商对项目需求的了解分析。优：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分，良：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分，一般：2分，差：1分；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（2）项目实施计划、质量承诺、工期安排。优：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分，良：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分，一般：2分，差：1分；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（3）服务方案得可行性、完整性及后期服务的及时性。优：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分，良：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分，一般：2分，差：1分；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（4）人员及其设备的合理安排。优：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分，良：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分，一般：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分，差：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分。</w:t>
            </w: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0-</w:t>
            </w:r>
            <w:r>
              <w:rPr>
                <w:rFonts w:ascii="宋体" w:hAnsi="宋体" w:eastAsia="宋体" w:cs="宋体"/>
                <w:szCs w:val="21"/>
              </w:rPr>
              <w:t>15</w:t>
            </w:r>
            <w:r>
              <w:rPr>
                <w:rFonts w:hint="eastAsia" w:ascii="宋体" w:hAnsi="宋体" w:eastAsia="宋体" w:cs="宋体"/>
                <w:szCs w:val="21"/>
              </w:rPr>
              <w:t>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698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1939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标准化档案室建设方案</w:t>
            </w:r>
          </w:p>
        </w:tc>
        <w:tc>
          <w:tcPr>
            <w:tcW w:w="5528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标准化档案室建设方案的可靠性、合理性，优：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10-8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分，良：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7-5</w:t>
            </w:r>
            <w:r>
              <w:rPr>
                <w:rFonts w:hint="eastAsia" w:ascii="宋体" w:hAnsi="宋体" w:eastAsia="宋体" w:cs="宋体"/>
                <w:szCs w:val="21"/>
              </w:rPr>
              <w:t>分，一般：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4-3</w:t>
            </w:r>
            <w:r>
              <w:rPr>
                <w:rFonts w:hint="eastAsia" w:ascii="宋体" w:hAnsi="宋体" w:eastAsia="宋体" w:cs="宋体"/>
                <w:szCs w:val="21"/>
              </w:rPr>
              <w:t>分，差：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2-</w:t>
            </w:r>
            <w:r>
              <w:rPr>
                <w:rFonts w:hint="eastAsia" w:ascii="宋体" w:hAnsi="宋体" w:eastAsia="宋体" w:cs="宋体"/>
                <w:szCs w:val="21"/>
              </w:rPr>
              <w:t>1分</w:t>
            </w: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0-</w:t>
            </w:r>
            <w:r>
              <w:rPr>
                <w:rFonts w:ascii="宋体" w:hAnsi="宋体" w:eastAsia="宋体" w:cs="宋体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szCs w:val="21"/>
              </w:rPr>
              <w:t>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698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1939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实施案例</w:t>
            </w:r>
          </w:p>
        </w:tc>
        <w:tc>
          <w:tcPr>
            <w:tcW w:w="5528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（1）投标供应商提供2015年1月1日以来承接过县区级或以上档案局（馆）RFID（电子标签）档案管理系统软件项目的业绩合同，得5分；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（2）投标供应商提供2015年1月1日以来承接过档案目标管理省一级或特级标准验收的服务业绩，每提供一个得</w:t>
            </w:r>
            <w:r>
              <w:rPr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分，最高得2分；提供的业绩中有通过省特级标准验收的另外得2分（需提供通过验收的文件扫描件或影印件）；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（3）投标供应商提供2015年1月1日以来承接过档案目录加密检索系统开发项目的业绩合同，每一个合同得3分，最高得6分；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（3）投标供应商提供2015年1月1日以来承接过地市级高级中学</w:t>
            </w:r>
            <w:r>
              <w:rPr>
                <w:rFonts w:hint="eastAsia" w:ascii="宋体" w:hAnsi="宋体" w:eastAsia="宋体" w:cs="宋体"/>
                <w:color w:val="FF0000"/>
                <w:szCs w:val="21"/>
                <w:lang w:eastAsia="zh-CN"/>
              </w:rPr>
              <w:t>或全日制大学</w:t>
            </w:r>
            <w:r>
              <w:rPr>
                <w:rFonts w:hint="eastAsia" w:ascii="宋体" w:hAnsi="宋体" w:eastAsia="宋体" w:cs="宋体"/>
                <w:szCs w:val="21"/>
              </w:rPr>
              <w:t>档案服务的业绩合同，每提供1个得</w:t>
            </w:r>
            <w:r>
              <w:rPr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分，最高得分5分；                            </w:t>
            </w:r>
          </w:p>
          <w:p>
            <w:pPr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备注：以上业绩不含正在履约项目，除了需要提供以上要求的材料外，还需提供</w:t>
            </w:r>
            <w:r>
              <w:rPr>
                <w:rFonts w:hint="eastAsia" w:ascii="宋体" w:hAnsi="宋体" w:eastAsia="宋体" w:cs="宋体"/>
                <w:b/>
                <w:color w:val="FF0000"/>
                <w:szCs w:val="21"/>
              </w:rPr>
              <w:t>业绩合同、验收报告的扫描件或影印件。</w:t>
            </w: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0-20分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698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1939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企业综合实力</w:t>
            </w:r>
          </w:p>
        </w:tc>
        <w:tc>
          <w:tcPr>
            <w:tcW w:w="5528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（1）具有自主知识产权的基于大数据技术的档案管理分析系统软件，并提供软件著作权证书得4分，不提供者不得分；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（2）具有自主知识产权的数字档案室安全管理系统，并提供软件著作权证书得4分，不提供者不得分；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（3）具有自主知识产权的数字档案电子标签管理系统，并提供软件著作权证书得4分，不提供者不得分；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（4）具有自主知识产权的数字档案检索系统，并提供软件著作权证书得4分，不提供者不得分；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（5）具有自主知识产权的档案信息资源智能集配服务平台，并提供软件著作权证书得4分，不提供者不得分；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备注：所提供证书的单位名称需与投标单位名称一致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0-20分</w:t>
            </w:r>
          </w:p>
        </w:tc>
      </w:tr>
    </w:tbl>
    <w:p>
      <w:pPr>
        <w:widowControl/>
        <w:shd w:val="clear" w:color="auto" w:fill="FFFFFF"/>
        <w:spacing w:line="540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</w:t>
      </w:r>
    </w:p>
    <w:p>
      <w:pPr>
        <w:widowControl/>
        <w:shd w:val="clear" w:color="auto" w:fill="FFFFFF"/>
        <w:spacing w:line="540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三、其他 </w:t>
      </w:r>
    </w:p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1.本次评标小组由合肥工业学校相关处室人员组成，驻校纪检组派员监督。 </w:t>
      </w:r>
    </w:p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2.招标单位联系人：秦主任，电话：0551-6</w:t>
      </w:r>
      <w:r>
        <w:rPr>
          <w:rFonts w:ascii="宋体" w:hAnsi="宋体" w:eastAsia="宋体" w:cs="宋体"/>
          <w:kern w:val="0"/>
          <w:sz w:val="24"/>
          <w:szCs w:val="24"/>
        </w:rPr>
        <w:t>5505007</w:t>
      </w:r>
      <w:r>
        <w:rPr>
          <w:rFonts w:hint="eastAsia" w:ascii="宋体" w:hAnsi="宋体" w:eastAsia="宋体" w:cs="宋体"/>
          <w:kern w:val="0"/>
          <w:sz w:val="24"/>
          <w:szCs w:val="24"/>
        </w:rPr>
        <w:t>。 </w:t>
      </w:r>
    </w:p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3.投标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人</w:t>
      </w:r>
      <w:r>
        <w:rPr>
          <w:rFonts w:ascii="宋体" w:hAnsi="宋体" w:eastAsia="宋体" w:cs="宋体"/>
          <w:color w:val="FF0000"/>
          <w:kern w:val="0"/>
          <w:sz w:val="24"/>
          <w:szCs w:val="24"/>
        </w:rPr>
        <w:t>5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  <w:lang w:val="en-US" w:eastAsia="zh-CN"/>
        </w:rPr>
        <w:t>14</w:t>
      </w:r>
      <w:bookmarkStart w:id="1" w:name="_GoBack"/>
      <w:bookmarkEnd w:id="1"/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</w:rPr>
        <w:t>（工作日）前勘测施工现场（地址：合肥工业学校科技楼三楼，联系人：秦主任，电话：0551-6</w:t>
      </w:r>
      <w:r>
        <w:rPr>
          <w:rFonts w:ascii="宋体" w:hAnsi="宋体" w:eastAsia="宋体" w:cs="宋体"/>
          <w:kern w:val="0"/>
          <w:sz w:val="24"/>
          <w:szCs w:val="24"/>
        </w:rPr>
        <w:t>5505007</w:t>
      </w:r>
      <w:r>
        <w:rPr>
          <w:rFonts w:hint="eastAsia" w:ascii="宋体" w:hAnsi="宋体" w:eastAsia="宋体" w:cs="宋体"/>
          <w:kern w:val="0"/>
          <w:sz w:val="24"/>
          <w:szCs w:val="24"/>
        </w:rPr>
        <w:t>）。 </w:t>
      </w:r>
    </w:p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3.1供应商应自行对供货（安装）或服务现场和周围环境进行勘察，以获取编制文件和签署合同所需的资料。 </w:t>
      </w:r>
    </w:p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3.2勘察现场所发生的费用由供应商自己承担。采购人向供应商提供的有关本项目的资料和数据，是采购人现有的能使供应商利用的资料。采购人对供应商由此而做出的推论、理解和结论概不负责。供应商因自身原因未进行实地踏勘的，成交后签订合同时和履约过程中，不得以不完全了解现场情况为由，提出任何形式的增加合同外造价或索赔的要求。 </w:t>
      </w:r>
    </w:p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4.知识产权。 </w:t>
      </w:r>
    </w:p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4.1供应商必须保证，采购人在中华人民共和国境内使用评标货物、资料、技术、服务或其任何一部分时，享有不受限制的无偿使用权，不会产生因第三方提出侵犯其专利权、商标权或其它知识产权而引起的法律或经济纠纷。如供应商不拥有相应的知识产权，则在投标报价中必须包括合法获取该知识产权的一切相关费用。 </w:t>
      </w:r>
    </w:p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4.2供应商如欲在项目实施过程中采用自有知识成果，须在文件中声明，并提供相关知识产权证明文件。使用该知识成果后，供应商须提供开发接口和开发手册等技术文档。 </w:t>
      </w:r>
    </w:p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5.纪律与保密。 </w:t>
      </w:r>
    </w:p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5.1供应商的响应行为应遵守中国的有关法律、法规和规章。 </w:t>
      </w:r>
    </w:p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5.2供应商不得相互串通投标报价，不得妨碍其他供应商的公平竞争，不得损害采购人或其他供应商的合法权益，供应商不得以向采购人、评标小组成员行贿或者其他不正当手段谋取成交资格。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C5C1C"/>
    <w:rsid w:val="1C9A1FFF"/>
    <w:rsid w:val="337C31EC"/>
    <w:rsid w:val="33EC5C1C"/>
    <w:rsid w:val="50A36DDC"/>
    <w:rsid w:val="5DC03441"/>
    <w:rsid w:val="690E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2021-04-19T00:09:00Z</dcterms:created>
  <dc:creator>俗人-O-只</dc:creator>
  <cp:lastModifiedBy>俗人-O-只</cp:lastModifiedBy>
  <dcterms:modified xsi:type="dcterms:W3CDTF">2021-05-12T03:21:26Z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D174064E6E434DC8856A3DE3067EFE57</vt:lpwstr>
  </property>
</Properties>
</file>