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424" w:leftChars="-202" w:right="-483" w:rightChars="-230"/>
        <w:jc w:val="center"/>
        <w:rPr>
          <w:rFonts w:hint="eastAsia" w:ascii="方正小标宋简体" w:hAnsi="方正小标宋简体" w:eastAsia="方正小标宋简体" w:cs="方正小标宋简体"/>
          <w:b w:val="0"/>
          <w:bCs/>
          <w:sz w:val="44"/>
          <w:szCs w:val="44"/>
        </w:rPr>
      </w:pPr>
      <w:bookmarkStart w:id="0" w:name="_Hlk76893736"/>
      <w:r>
        <w:rPr>
          <w:rFonts w:hint="eastAsia" w:ascii="方正小标宋简体" w:hAnsi="方正小标宋简体" w:eastAsia="方正小标宋简体" w:cs="方正小标宋简体"/>
          <w:b w:val="0"/>
          <w:bCs/>
          <w:sz w:val="44"/>
          <w:szCs w:val="44"/>
        </w:rPr>
        <w:t>体育与健康工作</w:t>
      </w:r>
      <w:bookmarkEnd w:id="0"/>
      <w:r>
        <w:rPr>
          <w:rFonts w:hint="eastAsia" w:ascii="方正小标宋简体" w:hAnsi="方正小标宋简体" w:eastAsia="方正小标宋简体" w:cs="方正小标宋简体"/>
          <w:b w:val="0"/>
          <w:bCs/>
          <w:sz w:val="44"/>
          <w:szCs w:val="44"/>
        </w:rPr>
        <w:t>实施方案(试行)</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贯彻落实中共中央办公厅国务院办公厅印发的《关于全面加强和改进新时代学校体育工作的意见》、《教育部办公厅关于进一步加强中小学生体质健康管理工作的通知》(教体艺厅函[2021] 16 号)、《安徽省教育厅转发教育部办公厅关于进一步加强中小学生体质健康管理工作的通知》（皖教秘〔2021〕180号）等文件精神，进一步改善我校学生体质健康状况。</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二、实施要点</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（一）加强宣传引导</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体育与健康课程、大课间、课外体育锻炼、各级各类体育竞赛、班级班会活动、家校协同等多种形式加强教育引导，让我校学生科学认识体质健康的影响因素，了解运动在增强体质、促进健康、锤炼意志、健全人格等方面的重要作用，提高学生体育与健康素养。</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（二）开足开齐体育与健康课程</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严格落实国家规定的体育与健康课程刚性要求，每班每周开足2节体育课，确保不以任何理由挤占体育与健康课程和学生校园体育活动时间。</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（三）保证体育活动时间</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保障大课间时间。每天统一安排30分钟以广播体操及礼仪操为主要内容的大课间活动。如因天气原因学校无法集中开展时，学部可自行安排反应学部特色的活动。</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学校组织校级、学部多级巡查，确保大课间活动质量并有序开展。</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确保早锻炼活动时间。自2021年秋季学期开始，21届新生开始试点早锻炼活动。按学部、年级、班级等利用每天起床至早餐的时间段轮流开展早锻炼活动。无法参与早锻炼的学生需提供情况说明及相关证明材料，经学部审核通过后方可请假。早锻炼的具体形式、内容、实施方案及组织由学生处和保卫处负责。</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保障眼保健操时间。每天上午、下午分别开展一次眼保健操活动。上午时间为第三节与第四节课间，下午时间为第五节与第六节课间。</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楷体" w:hAnsi="楷体" w:eastAsia="楷体" w:cs="楷体"/>
          <w:b w:val="0"/>
          <w:bCs/>
          <w:sz w:val="32"/>
          <w:szCs w:val="32"/>
        </w:rPr>
      </w:pPr>
      <w:r>
        <w:rPr>
          <w:rFonts w:hint="eastAsia" w:ascii="楷体" w:hAnsi="楷体" w:eastAsia="楷体" w:cs="楷体"/>
          <w:b w:val="0"/>
          <w:bCs/>
          <w:sz w:val="32"/>
          <w:szCs w:val="32"/>
        </w:rPr>
        <w:t>（四）提高体育教学质量</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聚焦“教会、勤练、常赛”，逐步完善“健康知识+基本运动技能+专项运动技能”的体育教学模式。</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课堂教学要求。按照《关于进一步规范体育与健康课教学有关要求的通知》（校字[2018]100号）要求，严格执行《中等职业学校体育与健康课程标准》（2020年版），规范教学内容、加强教学管理、加强运动风险防控、确保课堂安全。</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积极开展学科教研。定期组织教研组集中备课，公开课听评课活动。</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开展多种形式的体育活动</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（1）每学年度的上学期，组织进行校运动会和国家体质健康达标测试；每学年度下学期，组织开展面向全校的篮球、足球、排球联赛。</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（2）鼓励各学部根据自身特点，选择乒乓球、羽毛球等特色体育项目，并开展各类运动比赛。</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（3）探索并开展校际篮球、足球等联赛，带动区域体育发展。</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积极参加由国家、省、市、所在辖区等举办的各类面向教师及学生的体育活动。</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组建高水平运动队</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建立高水平运动队选拔机制。以运动会、体质达标测试及各联赛为依据选拔学生，组建相应专项训练队。训练队可代表学校参加各级各类赛事。</w:t>
      </w:r>
    </w:p>
    <w:p>
      <w:pPr>
        <w:keepNext w:val="0"/>
        <w:keepLines w:val="0"/>
        <w:pageBreakBefore w:val="0"/>
        <w:widowControl w:val="0"/>
        <w:kinsoku/>
        <w:wordWrap/>
        <w:overflowPunct/>
        <w:topLinePunct w:val="0"/>
        <w:autoSpaceDE/>
        <w:autoSpaceDN/>
        <w:bidi w:val="0"/>
        <w:adjustRightInd/>
        <w:snapToGrid/>
        <w:spacing w:line="560" w:lineRule="exact"/>
        <w:ind w:left="-424" w:leftChars="-202"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试行体育项目选修制度</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（1）体育选修项目。按照我校现有场地器材条件，结合学生实际情况，目前项目为跳绳、足球、篮球、排球、羽毛球、乒乓球等，后期依据教学实际对选修项目进行调整。</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（2）施行办法。体育教师在课堂上对学生所选项目进行指导。学生充分利用课余时间熟练技能，增强体质。</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（3）考核方式。每位学生在第一学年上学期从选修项目中选择两项作为选修项目。在第二至第四学期的任意时间学生均可向班级任课体育教师提出考核申请，由任课体育教师进行考核。</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考核不合格的学生均拥有一次补测机会，班级体育任课教师在第五学期集中组织不合格的学生进行补测。</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（4）考核结果的使用。考核成绩作为学生评奖评优的重要依据。选修项目考核不合格的学生不得作为各类评优评先推荐对象，并缓发毕业证。</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（五）做好体质健康检测</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全面贯彻落实《国家学生体质健康标准（2014年修订）》《学生体质健康检测评价办法》等系列文件要求，对体质健康管理内容定期进行全面检测。</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体质健康统一测试。为提高教师及学生对体质健康达标测试的重视程度，提高测试合格率。以工商财贸学部为试点，由学部体美组制定测试方案，组织学部学生统一进行体质健康达标测试，工商学部不再以随堂测试形式进行体质健康达标测试，其他学部仍照常进行。试点一次，试点结束后总结经验，修订完善测试办法。</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测试结果的使用。体质达标测试成绩将作为学生评奖评优重要依据。体质健康达标测试不合格的学生不得作为各类评优评先推荐对象，并缓发毕业证。</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三、保障措施</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（一）制度保障。</w:t>
      </w:r>
      <w:r>
        <w:rPr>
          <w:rFonts w:hint="eastAsia" w:ascii="仿宋_GB2312" w:hAnsi="仿宋_GB2312" w:eastAsia="仿宋_GB2312" w:cs="仿宋_GB2312"/>
          <w:sz w:val="32"/>
          <w:szCs w:val="32"/>
        </w:rPr>
        <w:t>将体质健康管理工作纳入我校的日常管理，定期召开会议进行专题研究。</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（二）人员保障。</w:t>
      </w:r>
      <w:r>
        <w:rPr>
          <w:rFonts w:hint="eastAsia" w:ascii="仿宋_GB2312" w:hAnsi="仿宋_GB2312" w:eastAsia="仿宋_GB2312" w:cs="仿宋_GB2312"/>
          <w:sz w:val="32"/>
          <w:szCs w:val="32"/>
        </w:rPr>
        <w:t>学校成立体育卫生工作领导小组，校长任组长，分管校长任副组长，下设体育卫生工作办公室，全面指导体育工作开展。</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（三）经费投入。</w:t>
      </w:r>
      <w:r>
        <w:rPr>
          <w:rFonts w:hint="eastAsia" w:ascii="仿宋_GB2312" w:hAnsi="仿宋_GB2312" w:eastAsia="仿宋_GB2312" w:cs="仿宋_GB2312"/>
          <w:sz w:val="32"/>
          <w:szCs w:val="32"/>
        </w:rPr>
        <w:t>学校加大对体育工作的投入，完善体育活动奖励办法，确保各项体育活动顺利开展。</w:t>
      </w:r>
    </w:p>
    <w:p>
      <w:pPr>
        <w:keepNext w:val="0"/>
        <w:keepLines w:val="0"/>
        <w:pageBreakBefore w:val="0"/>
        <w:widowControl w:val="0"/>
        <w:kinsoku/>
        <w:wordWrap/>
        <w:overflowPunct/>
        <w:topLinePunct w:val="0"/>
        <w:autoSpaceDE/>
        <w:autoSpaceDN/>
        <w:bidi w:val="0"/>
        <w:adjustRightInd/>
        <w:snapToGrid/>
        <w:spacing w:line="560" w:lineRule="exact"/>
        <w:ind w:left="-424" w:leftChars="-202" w:right="-483" w:rightChars="-23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附件：体育选修项目考核标准</w:t>
      </w:r>
    </w:p>
    <w:p>
      <w:pPr>
        <w:keepNext w:val="0"/>
        <w:keepLines w:val="0"/>
        <w:pageBreakBefore w:val="0"/>
        <w:widowControl w:val="0"/>
        <w:kinsoku/>
        <w:wordWrap/>
        <w:overflowPunct/>
        <w:topLinePunct w:val="0"/>
        <w:autoSpaceDE/>
        <w:autoSpaceDN/>
        <w:bidi w:val="0"/>
        <w:adjustRightInd/>
        <w:snapToGrid/>
        <w:spacing w:line="560" w:lineRule="exact"/>
        <w:ind w:right="-483" w:rightChars="-230"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483" w:rightChars="-23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合肥工业学校</w:t>
      </w:r>
    </w:p>
    <w:p>
      <w:pPr>
        <w:keepNext w:val="0"/>
        <w:keepLines w:val="0"/>
        <w:pageBreakBefore w:val="0"/>
        <w:widowControl w:val="0"/>
        <w:kinsoku/>
        <w:wordWrap/>
        <w:overflowPunct/>
        <w:topLinePunct w:val="0"/>
        <w:autoSpaceDE/>
        <w:autoSpaceDN/>
        <w:bidi w:val="0"/>
        <w:adjustRightInd/>
        <w:snapToGrid/>
        <w:spacing w:line="560" w:lineRule="exact"/>
        <w:ind w:right="-483" w:rightChars="-23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2021年8月</w:t>
      </w:r>
    </w:p>
    <w:p>
      <w:pPr>
        <w:spacing w:line="500" w:lineRule="exact"/>
        <w:ind w:right="-483" w:rightChars="-230" w:firstLine="5120" w:firstLineChars="1600"/>
        <w:jc w:val="left"/>
        <w:rPr>
          <w:rFonts w:hint="eastAsia" w:ascii="仿宋" w:hAnsi="仿宋" w:eastAsia="仿宋"/>
          <w:sz w:val="32"/>
          <w:szCs w:val="32"/>
        </w:rPr>
      </w:pPr>
    </w:p>
    <w:p>
      <w:pPr>
        <w:spacing w:line="500" w:lineRule="exact"/>
        <w:ind w:right="-483" w:rightChars="-230" w:firstLine="5120" w:firstLineChars="1600"/>
        <w:jc w:val="left"/>
        <w:rPr>
          <w:rFonts w:hint="eastAsia" w:ascii="仿宋" w:hAnsi="仿宋" w:eastAsia="仿宋"/>
          <w:sz w:val="32"/>
          <w:szCs w:val="32"/>
        </w:rPr>
      </w:pPr>
    </w:p>
    <w:p>
      <w:pPr>
        <w:spacing w:line="500" w:lineRule="exact"/>
        <w:ind w:right="-483" w:rightChars="-230" w:firstLine="5120" w:firstLineChars="1600"/>
        <w:jc w:val="left"/>
        <w:rPr>
          <w:rFonts w:hint="eastAsia" w:ascii="仿宋" w:hAnsi="仿宋" w:eastAsia="仿宋"/>
          <w:sz w:val="32"/>
          <w:szCs w:val="32"/>
        </w:rPr>
      </w:pPr>
    </w:p>
    <w:p>
      <w:pPr>
        <w:spacing w:line="500" w:lineRule="exact"/>
        <w:ind w:right="-483" w:rightChars="-230"/>
        <w:jc w:val="left"/>
        <w:rPr>
          <w:rFonts w:hint="eastAsia" w:ascii="仿宋" w:hAnsi="仿宋" w:eastAsia="仿宋"/>
          <w:sz w:val="32"/>
          <w:szCs w:val="32"/>
        </w:rPr>
        <w:sectPr>
          <w:pgSz w:w="11906" w:h="16838"/>
          <w:pgMar w:top="1440" w:right="1800" w:bottom="1440" w:left="1800" w:header="851" w:footer="992" w:gutter="0"/>
          <w:cols w:space="425" w:num="1"/>
          <w:docGrid w:type="lines" w:linePitch="312" w:charSpace="0"/>
        </w:sectPr>
      </w:pPr>
    </w:p>
    <w:tbl>
      <w:tblPr>
        <w:tblStyle w:val="7"/>
        <w:tblW w:w="15355" w:type="dxa"/>
        <w:tblInd w:w="-982" w:type="dxa"/>
        <w:shd w:val="clear" w:color="auto" w:fill="auto"/>
        <w:tblLayout w:type="fixed"/>
        <w:tblCellMar>
          <w:top w:w="0" w:type="dxa"/>
          <w:left w:w="0" w:type="dxa"/>
          <w:bottom w:w="0" w:type="dxa"/>
          <w:right w:w="0" w:type="dxa"/>
        </w:tblCellMar>
      </w:tblPr>
      <w:tblGrid>
        <w:gridCol w:w="968"/>
        <w:gridCol w:w="1173"/>
        <w:gridCol w:w="9791"/>
        <w:gridCol w:w="900"/>
        <w:gridCol w:w="2523"/>
      </w:tblGrid>
      <w:tr>
        <w:tblPrEx>
          <w:tblCellMar>
            <w:top w:w="0" w:type="dxa"/>
            <w:left w:w="0" w:type="dxa"/>
            <w:bottom w:w="0" w:type="dxa"/>
            <w:right w:w="0" w:type="dxa"/>
          </w:tblCellMar>
        </w:tblPrEx>
        <w:trPr>
          <w:trHeight w:val="702" w:hRule="atLeast"/>
        </w:trPr>
        <w:tc>
          <w:tcPr>
            <w:tcW w:w="15355" w:type="dxa"/>
            <w:gridSpan w:val="5"/>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ind w:right="911" w:rightChars="434"/>
              <w:jc w:val="left"/>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附件：                    体育选修项目考核标准</w:t>
            </w:r>
            <w:bookmarkStart w:id="1" w:name="_GoBack"/>
            <w:bookmarkEnd w:id="1"/>
          </w:p>
        </w:tc>
      </w:tr>
      <w:tr>
        <w:tblPrEx>
          <w:tblCellMar>
            <w:top w:w="0" w:type="dxa"/>
            <w:left w:w="0" w:type="dxa"/>
            <w:bottom w:w="0" w:type="dxa"/>
            <w:right w:w="0" w:type="dxa"/>
          </w:tblCellMar>
        </w:tblPrEx>
        <w:trPr>
          <w:trHeight w:val="462" w:hRule="atLeast"/>
        </w:trPr>
        <w:tc>
          <w:tcPr>
            <w:tcW w:w="9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项目名称</w:t>
            </w:r>
          </w:p>
        </w:tc>
        <w:tc>
          <w:tcPr>
            <w:tcW w:w="9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考核内容</w:t>
            </w:r>
          </w:p>
        </w:tc>
        <w:tc>
          <w:tcPr>
            <w:tcW w:w="34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考核标准</w:t>
            </w:r>
          </w:p>
        </w:tc>
      </w:tr>
      <w:tr>
        <w:tblPrEx>
          <w:tblCellMar>
            <w:top w:w="0" w:type="dxa"/>
            <w:left w:w="0" w:type="dxa"/>
            <w:bottom w:w="0" w:type="dxa"/>
            <w:right w:w="0" w:type="dxa"/>
          </w:tblCellMar>
        </w:tblPrEx>
        <w:trPr>
          <w:trHeight w:val="319"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篮球</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1、篮下一分钟投篮（自投自抢）</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男：25个，女：15个</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男：20个，女：12个</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男：15个，女：8个</w:t>
            </w:r>
          </w:p>
        </w:tc>
      </w:tr>
      <w:tr>
        <w:tblPrEx>
          <w:shd w:val="clear" w:color="auto" w:fill="auto"/>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2、一分钟半场运球三步上篮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男：8个，女：6个</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男：6个，女：5个</w:t>
            </w:r>
          </w:p>
        </w:tc>
      </w:tr>
      <w:tr>
        <w:tblPrEx>
          <w:shd w:val="clear" w:color="auto" w:fill="auto"/>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男：4个，女：3个</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3、两人全场传接球上篮（每人各进两球）</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男：15s,女：20s</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男：20s,女：25s</w:t>
            </w:r>
          </w:p>
        </w:tc>
      </w:tr>
      <w:tr>
        <w:tblPrEx>
          <w:tblCellMar>
            <w:top w:w="0" w:type="dxa"/>
            <w:left w:w="0" w:type="dxa"/>
            <w:bottom w:w="0" w:type="dxa"/>
            <w:right w:w="0" w:type="dxa"/>
          </w:tblCellMar>
        </w:tblPrEx>
        <w:trPr>
          <w:trHeight w:val="319"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男：24s,女：30s</w:t>
            </w:r>
          </w:p>
        </w:tc>
      </w:tr>
      <w:tr>
        <w:tblPrEx>
          <w:tblCellMar>
            <w:top w:w="0" w:type="dxa"/>
            <w:left w:w="0" w:type="dxa"/>
            <w:bottom w:w="0" w:type="dxa"/>
            <w:right w:w="0" w:type="dxa"/>
          </w:tblCellMar>
        </w:tblPrEx>
        <w:trPr>
          <w:trHeight w:val="462"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足球</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球绕杆射门。在大禁区前设置四根杆，第一与第二根杆间距1米，第二与第三根杆间距2米，第三与第四根杆间距1米，第四根杆与大禁区线间距3米。受试者运球绕过4根杆后在大禁区前射门，球进测试结束。球没射进直接记为不合格。每名受试者测试两次，记录其中成绩最好的一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10.4s</w:t>
            </w:r>
          </w:p>
        </w:tc>
      </w:tr>
      <w:tr>
        <w:tblPrEx>
          <w:shd w:val="clear" w:color="auto" w:fill="auto"/>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15.4s</w:t>
            </w:r>
          </w:p>
        </w:tc>
      </w:tr>
      <w:tr>
        <w:tblPrEx>
          <w:tblCellMar>
            <w:top w:w="0" w:type="dxa"/>
            <w:left w:w="0" w:type="dxa"/>
            <w:bottom w:w="0" w:type="dxa"/>
            <w:right w:w="0" w:type="dxa"/>
          </w:tblCellMar>
        </w:tblPrEx>
        <w:trPr>
          <w:trHeight w:val="300"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20s</w:t>
            </w:r>
          </w:p>
        </w:tc>
      </w:tr>
      <w:tr>
        <w:tblPrEx>
          <w:tblCellMar>
            <w:top w:w="0" w:type="dxa"/>
            <w:left w:w="0" w:type="dxa"/>
            <w:bottom w:w="0" w:type="dxa"/>
            <w:right w:w="0" w:type="dxa"/>
          </w:tblCellMar>
        </w:tblPrEx>
        <w:trPr>
          <w:trHeight w:val="462"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排球</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在坚实、平坦的场地或排球场上进行，测试区域为3米×3米。测试器材为排球。受试者在规定的测试区域内原地将球抛起，个人连续正面双手垫球，要求手型正确、击球部位准确、达到规定的高度，球落地即为测试结束，按次计数。受试者每次垫球应达到的高度为2米。每名受试者测试两次，记录其中成绩最好的一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40次</w:t>
            </w:r>
          </w:p>
        </w:tc>
      </w:tr>
      <w:tr>
        <w:tblPrEx>
          <w:shd w:val="clear" w:color="auto" w:fill="auto"/>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25次</w:t>
            </w:r>
          </w:p>
        </w:tc>
      </w:tr>
      <w:tr>
        <w:tblPrEx>
          <w:tblCellMar>
            <w:top w:w="0" w:type="dxa"/>
            <w:left w:w="0" w:type="dxa"/>
            <w:bottom w:w="0" w:type="dxa"/>
            <w:right w:w="0" w:type="dxa"/>
          </w:tblCellMar>
        </w:tblPrEx>
        <w:trPr>
          <w:trHeight w:val="435"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10次</w:t>
            </w:r>
          </w:p>
        </w:tc>
      </w:tr>
      <w:tr>
        <w:tblPrEx>
          <w:shd w:val="clear" w:color="auto" w:fill="auto"/>
          <w:tblCellMar>
            <w:top w:w="0" w:type="dxa"/>
            <w:left w:w="0" w:type="dxa"/>
            <w:bottom w:w="0" w:type="dxa"/>
            <w:right w:w="0" w:type="dxa"/>
          </w:tblCellMar>
        </w:tblPrEx>
        <w:trPr>
          <w:trHeight w:val="825"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羽毛球</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一、发球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1、正手发高远球：在两个发球区各发6个球，落点要求在两条底线之间的区内。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2、反手发网前球：在两个发球区各发6个球，落点要求在前接发球线的20cm以内，球过网的弧度要低，尽可能贴网过。（共12球，每球5分，计60分）</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二、击平高球：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连续击打平高球，要求高度具备足够高，落点在对方底线附近。击球后先向前移动，在向后移动继续击平高球。陪考人连续给平高球。（共4球，每球5分，计20分）</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三、劈吊球：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连续劈吊网前球，陪考人连续挑高球。要求球必须从高向低走，尽可能贴网过，落点不得超过发球线。可以吊直线，也可以吊对角线（正手或反手）。（共4球，每球5分，计20分）</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90分</w:t>
            </w:r>
          </w:p>
        </w:tc>
      </w:tr>
      <w:tr>
        <w:tblPrEx>
          <w:shd w:val="clear" w:color="auto" w:fill="auto"/>
          <w:tblCellMar>
            <w:top w:w="0" w:type="dxa"/>
            <w:left w:w="0" w:type="dxa"/>
            <w:bottom w:w="0" w:type="dxa"/>
            <w:right w:w="0" w:type="dxa"/>
          </w:tblCellMar>
        </w:tblPrEx>
        <w:trPr>
          <w:trHeight w:val="900"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80分</w:t>
            </w:r>
          </w:p>
        </w:tc>
      </w:tr>
      <w:tr>
        <w:tblPrEx>
          <w:tblCellMar>
            <w:top w:w="0" w:type="dxa"/>
            <w:left w:w="0" w:type="dxa"/>
            <w:bottom w:w="0" w:type="dxa"/>
            <w:right w:w="0" w:type="dxa"/>
          </w:tblCellMar>
        </w:tblPrEx>
        <w:trPr>
          <w:trHeight w:val="1155"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60分</w:t>
            </w:r>
          </w:p>
        </w:tc>
      </w:tr>
      <w:tr>
        <w:tblPrEx>
          <w:shd w:val="clear" w:color="auto" w:fill="auto"/>
          <w:tblCellMar>
            <w:top w:w="0" w:type="dxa"/>
            <w:left w:w="0" w:type="dxa"/>
            <w:bottom w:w="0" w:type="dxa"/>
            <w:right w:w="0" w:type="dxa"/>
          </w:tblCellMar>
        </w:tblPrEx>
        <w:trPr>
          <w:trHeight w:val="462"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乒乓球</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开始，由教师定点向受试者正、反手位连续交替供球30个；球过网上缘8厘米左右高度，供球到考生球台左、右两侧1/3区域内的中线附近区间内(距球台端线约30-55厘米)。受试者运用乒乓球正反手技术动作在全台区域内一正一反连续击球，应击中对面台面。每名考生连续击球30个。</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r>
      <w:tr>
        <w:tblPrEx>
          <w:shd w:val="clear" w:color="auto" w:fill="auto"/>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r>
      <w:tr>
        <w:tblPrEx>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r>
      <w:tr>
        <w:tblPrEx>
          <w:tblCellMar>
            <w:top w:w="0" w:type="dxa"/>
            <w:left w:w="0" w:type="dxa"/>
            <w:bottom w:w="0" w:type="dxa"/>
            <w:right w:w="0" w:type="dxa"/>
          </w:tblCellMar>
        </w:tblPrEx>
        <w:trPr>
          <w:trHeight w:val="462" w:hRule="atLeast"/>
        </w:trPr>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跳绳</w:t>
            </w:r>
          </w:p>
        </w:tc>
        <w:tc>
          <w:tcPr>
            <w:tcW w:w="97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试者将绳的长短调至适宜长度，听到开始信号后开始跳绳，动作规格为正摇双脚跳绳，每跳跃一次且摇绳一回环（一周圈）计为一个，听到结束信号后停止。记录受试者在1分钟内的跳绳个数。每名受试者测试一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优秀</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w:t>
            </w:r>
          </w:p>
        </w:tc>
      </w:tr>
      <w:tr>
        <w:tblPrEx>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良好</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r>
      <w:tr>
        <w:tblPrEx>
          <w:shd w:val="clear" w:color="auto" w:fill="auto"/>
          <w:tblCellMar>
            <w:top w:w="0" w:type="dxa"/>
            <w:left w:w="0" w:type="dxa"/>
            <w:bottom w:w="0" w:type="dxa"/>
            <w:right w:w="0" w:type="dxa"/>
          </w:tblCellMar>
        </w:tblPrEx>
        <w:trPr>
          <w:trHeight w:val="462" w:hRule="atLeast"/>
        </w:trPr>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及格</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r>
    </w:tbl>
    <w:p>
      <w:pPr>
        <w:spacing w:line="500" w:lineRule="exact"/>
        <w:ind w:right="-483" w:rightChars="-230"/>
        <w:jc w:val="left"/>
        <w:rPr>
          <w:rFonts w:hint="eastAsia" w:ascii="仿宋" w:hAnsi="仿宋" w:eastAsia="仿宋"/>
          <w:sz w:val="32"/>
          <w:szCs w:val="32"/>
        </w:rPr>
      </w:pPr>
    </w:p>
    <w:sectPr>
      <w:pgSz w:w="16838" w:h="11906" w:orient="landscape"/>
      <w:pgMar w:top="1440" w:right="1800" w:bottom="1440" w:left="180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60A9"/>
    <w:rsid w:val="00063628"/>
    <w:rsid w:val="000D4485"/>
    <w:rsid w:val="001138DF"/>
    <w:rsid w:val="00113A1F"/>
    <w:rsid w:val="0014027B"/>
    <w:rsid w:val="001706C5"/>
    <w:rsid w:val="00186352"/>
    <w:rsid w:val="001B0205"/>
    <w:rsid w:val="001B3413"/>
    <w:rsid w:val="001B47A0"/>
    <w:rsid w:val="001D708B"/>
    <w:rsid w:val="002054AF"/>
    <w:rsid w:val="00247834"/>
    <w:rsid w:val="0027298E"/>
    <w:rsid w:val="002D696D"/>
    <w:rsid w:val="002E5A9D"/>
    <w:rsid w:val="003159BE"/>
    <w:rsid w:val="00340F7B"/>
    <w:rsid w:val="0034246F"/>
    <w:rsid w:val="003901B1"/>
    <w:rsid w:val="00390900"/>
    <w:rsid w:val="003D41F1"/>
    <w:rsid w:val="003E06CB"/>
    <w:rsid w:val="0040000F"/>
    <w:rsid w:val="0040559F"/>
    <w:rsid w:val="00421F68"/>
    <w:rsid w:val="00465BC6"/>
    <w:rsid w:val="004677CB"/>
    <w:rsid w:val="00474B56"/>
    <w:rsid w:val="00483E34"/>
    <w:rsid w:val="0048659E"/>
    <w:rsid w:val="004B6CE4"/>
    <w:rsid w:val="004D61EA"/>
    <w:rsid w:val="00507130"/>
    <w:rsid w:val="00524457"/>
    <w:rsid w:val="00534FC4"/>
    <w:rsid w:val="00547295"/>
    <w:rsid w:val="00554555"/>
    <w:rsid w:val="005A17E6"/>
    <w:rsid w:val="005F6113"/>
    <w:rsid w:val="0062073D"/>
    <w:rsid w:val="00653820"/>
    <w:rsid w:val="00676EE6"/>
    <w:rsid w:val="006B4B63"/>
    <w:rsid w:val="006C77A4"/>
    <w:rsid w:val="00701960"/>
    <w:rsid w:val="00702330"/>
    <w:rsid w:val="00702C69"/>
    <w:rsid w:val="0070342E"/>
    <w:rsid w:val="0071442C"/>
    <w:rsid w:val="0073017D"/>
    <w:rsid w:val="007B4089"/>
    <w:rsid w:val="007D559B"/>
    <w:rsid w:val="00813B6E"/>
    <w:rsid w:val="00892A1B"/>
    <w:rsid w:val="00895C11"/>
    <w:rsid w:val="00895EEA"/>
    <w:rsid w:val="008C0A21"/>
    <w:rsid w:val="008E7981"/>
    <w:rsid w:val="00960455"/>
    <w:rsid w:val="009821AB"/>
    <w:rsid w:val="0098762A"/>
    <w:rsid w:val="00A00238"/>
    <w:rsid w:val="00A158CE"/>
    <w:rsid w:val="00A24065"/>
    <w:rsid w:val="00A3433D"/>
    <w:rsid w:val="00A93026"/>
    <w:rsid w:val="00AD195A"/>
    <w:rsid w:val="00B4161B"/>
    <w:rsid w:val="00B53C91"/>
    <w:rsid w:val="00BB2AF8"/>
    <w:rsid w:val="00BB7BAA"/>
    <w:rsid w:val="00BC493E"/>
    <w:rsid w:val="00BE225E"/>
    <w:rsid w:val="00C071BA"/>
    <w:rsid w:val="00C82703"/>
    <w:rsid w:val="00CD28A5"/>
    <w:rsid w:val="00D01101"/>
    <w:rsid w:val="00D16151"/>
    <w:rsid w:val="00D3094E"/>
    <w:rsid w:val="00D32D9F"/>
    <w:rsid w:val="00D87A6E"/>
    <w:rsid w:val="00D95A3F"/>
    <w:rsid w:val="00E232A5"/>
    <w:rsid w:val="00E34F52"/>
    <w:rsid w:val="00E646B3"/>
    <w:rsid w:val="00E85AE7"/>
    <w:rsid w:val="00E91805"/>
    <w:rsid w:val="00EA2461"/>
    <w:rsid w:val="00EB799E"/>
    <w:rsid w:val="00ED71EC"/>
    <w:rsid w:val="00EF62C7"/>
    <w:rsid w:val="00F43C5B"/>
    <w:rsid w:val="00F44C75"/>
    <w:rsid w:val="00F51D05"/>
    <w:rsid w:val="00F743F6"/>
    <w:rsid w:val="00F7761A"/>
    <w:rsid w:val="00F853D4"/>
    <w:rsid w:val="00F9482D"/>
    <w:rsid w:val="00FC4434"/>
    <w:rsid w:val="00FF22C9"/>
    <w:rsid w:val="00FF76D8"/>
    <w:rsid w:val="0E421797"/>
    <w:rsid w:val="15911B58"/>
    <w:rsid w:val="1A8167AF"/>
    <w:rsid w:val="20CE3709"/>
    <w:rsid w:val="35261526"/>
    <w:rsid w:val="38937605"/>
    <w:rsid w:val="58B1503C"/>
    <w:rsid w:val="63125E1A"/>
    <w:rsid w:val="76FE0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Balloon Text"/>
    <w:basedOn w:val="1"/>
    <w:link w:val="10"/>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批注框文本 Char"/>
    <w:basedOn w:val="8"/>
    <w:link w:val="3"/>
    <w:semiHidden/>
    <w:qFormat/>
    <w:uiPriority w:val="99"/>
    <w:rPr>
      <w:sz w:val="18"/>
      <w:szCs w:val="18"/>
    </w:rPr>
  </w:style>
  <w:style w:type="character" w:customStyle="1" w:styleId="11">
    <w:name w:val="批注文字 Char"/>
    <w:basedOn w:val="8"/>
    <w:link w:val="2"/>
    <w:semiHidden/>
    <w:qFormat/>
    <w:uiPriority w:val="99"/>
  </w:style>
  <w:style w:type="character" w:customStyle="1" w:styleId="12">
    <w:name w:val="批注主题 Char"/>
    <w:basedOn w:val="11"/>
    <w:link w:val="6"/>
    <w:semiHidden/>
    <w:qFormat/>
    <w:uiPriority w:val="99"/>
    <w:rPr>
      <w:b/>
      <w:bCs/>
    </w:rPr>
  </w:style>
  <w:style w:type="character" w:customStyle="1" w:styleId="13">
    <w:name w:val="页眉 Char"/>
    <w:basedOn w:val="8"/>
    <w:link w:val="5"/>
    <w:qFormat/>
    <w:uiPriority w:val="99"/>
    <w:rPr>
      <w:sz w:val="18"/>
      <w:szCs w:val="18"/>
    </w:rPr>
  </w:style>
  <w:style w:type="character" w:customStyle="1" w:styleId="14">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299</Words>
  <Characters>1708</Characters>
  <Lines>14</Lines>
  <Paragraphs>4</Paragraphs>
  <TotalTime>1</TotalTime>
  <ScaleCrop>false</ScaleCrop>
  <LinksUpToDate>false</LinksUpToDate>
  <CharactersWithSpaces>2003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2021-07-11T02:41:00Z</dcterms:created>
  <dc:creator>AutoBVT</dc:creator>
  <cp:lastModifiedBy>吕珊珊</cp:lastModifiedBy>
  <cp:lastPrinted>2021-08-03T13:18:00Z</cp:lastPrinted>
  <dcterms:modified xsi:type="dcterms:W3CDTF">2021-08-16T06:49:33Z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3D43E905194D465FBB621628EEB8963D</vt:lpwstr>
  </property>
</Properties>
</file>